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1A" w:rsidRPr="009C1690" w:rsidRDefault="0072641A" w:rsidP="0072641A">
      <w:pPr>
        <w:pStyle w:val="Cmsor1"/>
        <w:tabs>
          <w:tab w:val="left" w:pos="9212"/>
        </w:tabs>
        <w:jc w:val="center"/>
        <w:rPr>
          <w:rFonts w:ascii="Times New Roman" w:hAnsi="Times New Roman"/>
          <w:szCs w:val="24"/>
        </w:rPr>
      </w:pPr>
      <w:r w:rsidRPr="009C1690">
        <w:rPr>
          <w:rFonts w:ascii="Times New Roman" w:hAnsi="Times New Roman"/>
          <w:sz w:val="22"/>
          <w:szCs w:val="22"/>
        </w:rPr>
        <w:t xml:space="preserve">Tájékoztató a </w:t>
      </w:r>
      <w:r w:rsidRPr="009C1690">
        <w:rPr>
          <w:rFonts w:ascii="Times New Roman" w:hAnsi="Times New Roman"/>
          <w:szCs w:val="24"/>
        </w:rPr>
        <w:t>Mindszentkálla, 826. hrsz.-ú ingatlan beépíthetőségéről</w:t>
      </w:r>
    </w:p>
    <w:p w:rsidR="0072641A" w:rsidRPr="0072641A" w:rsidRDefault="0072641A" w:rsidP="0072641A">
      <w:pPr>
        <w:rPr>
          <w:lang w:eastAsia="hu-HU"/>
        </w:rPr>
      </w:pPr>
      <w:bookmarkStart w:id="0" w:name="_GoBack"/>
      <w:bookmarkEnd w:id="0"/>
    </w:p>
    <w:p w:rsidR="0072641A" w:rsidRPr="00954D87" w:rsidRDefault="0072641A" w:rsidP="009E1E94">
      <w:pPr>
        <w:pStyle w:val="NormlWeb"/>
        <w:jc w:val="both"/>
        <w:rPr>
          <w:rStyle w:val="Kiemels2"/>
          <w:b w:val="0"/>
        </w:rPr>
      </w:pPr>
      <w:r w:rsidRPr="00954D87">
        <w:rPr>
          <w:sz w:val="22"/>
          <w:szCs w:val="22"/>
        </w:rPr>
        <w:t xml:space="preserve">Mindszentkálla Község Önkormányzat Képviselő-testülete nem alkotta meg Mindszentkálla Község településrendezési eszközeit ezzel helyi építési szabályzatát és szabályozási tervét.  Ezen dokumentumok hiányában a magasabb rendű jogszabályokat kell alkalmazni, így </w:t>
      </w:r>
      <w:r w:rsidRPr="00954D87">
        <w:rPr>
          <w:rStyle w:val="Kiemels2"/>
          <w:b w:val="0"/>
        </w:rPr>
        <w:t>az országos településrendezési és építési követelményekről (a továbbiakban: OTÉK) szóló 253/1997. (XII. 20.) Korm. rendelet vonatkozó előírásait.</w:t>
      </w:r>
    </w:p>
    <w:p w:rsidR="0072641A" w:rsidRPr="00954D87" w:rsidRDefault="0072641A" w:rsidP="009E1E94">
      <w:pPr>
        <w:pStyle w:val="NormlWeb"/>
        <w:jc w:val="both"/>
        <w:rPr>
          <w:rStyle w:val="Kiemels2"/>
          <w:b w:val="0"/>
        </w:rPr>
      </w:pPr>
      <w:r w:rsidRPr="00954D87">
        <w:rPr>
          <w:rStyle w:val="Kiemels2"/>
          <w:b w:val="0"/>
        </w:rPr>
        <w:t>A tárgyi ingatlan zárkertben helyezkedik el, művelési ága: kert, nagy</w:t>
      </w:r>
      <w:r w:rsidR="00954D87">
        <w:rPr>
          <w:rStyle w:val="Kiemels2"/>
          <w:b w:val="0"/>
        </w:rPr>
        <w:t>sága 1.444 m2, táj</w:t>
      </w:r>
      <w:r w:rsidRPr="00954D87">
        <w:rPr>
          <w:rStyle w:val="Kiemels2"/>
          <w:b w:val="0"/>
        </w:rPr>
        <w:t>védelmi körzet, a BFNP része.</w:t>
      </w:r>
    </w:p>
    <w:p w:rsidR="0072641A" w:rsidRPr="00954D87" w:rsidRDefault="0072641A" w:rsidP="009E1E94">
      <w:pPr>
        <w:pStyle w:val="NormlWeb"/>
        <w:jc w:val="both"/>
        <w:rPr>
          <w:rStyle w:val="Kiemels2"/>
          <w:b w:val="0"/>
        </w:rPr>
      </w:pPr>
      <w:r w:rsidRPr="00954D87">
        <w:rPr>
          <w:rStyle w:val="Kiemels2"/>
          <w:b w:val="0"/>
        </w:rPr>
        <w:t>Az OTÉK vonatkozó előírásai alapján:</w:t>
      </w:r>
    </w:p>
    <w:p w:rsidR="0072641A" w:rsidRPr="00914305" w:rsidRDefault="0072641A" w:rsidP="009E1E94">
      <w:pPr>
        <w:pStyle w:val="NormlWeb"/>
        <w:jc w:val="both"/>
      </w:pPr>
      <w:r w:rsidRPr="00914305">
        <w:rPr>
          <w:rStyle w:val="Kiemels2"/>
        </w:rPr>
        <w:t>Mezőgazdasági terület</w:t>
      </w:r>
    </w:p>
    <w:p w:rsidR="0072641A" w:rsidRDefault="0072641A" w:rsidP="009E1E94">
      <w:pPr>
        <w:pStyle w:val="NormlWeb"/>
        <w:jc w:val="both"/>
      </w:pPr>
      <w:r>
        <w:rPr>
          <w:rStyle w:val="Kiemels2"/>
        </w:rPr>
        <w:t>29. §</w:t>
      </w:r>
      <w:r>
        <w:t xml:space="preserve"> (1) A mezőgazdasági területen a növénytermesztés, az állattartás és állattenyésztés és a halászat, továbbá az ezekkel kapcsolatos termékfeldolgozás és </w:t>
      </w:r>
      <w:proofErr w:type="spellStart"/>
      <w:r>
        <w:t>-tárolás</w:t>
      </w:r>
      <w:proofErr w:type="spellEnd"/>
      <w:r>
        <w:t xml:space="preserve"> (a továbbiakban: mezőgazdasági hasznosítás) építményei helyezhetők el.</w:t>
      </w:r>
    </w:p>
    <w:p w:rsidR="0072641A" w:rsidRDefault="0072641A" w:rsidP="009E1E94">
      <w:pPr>
        <w:pStyle w:val="NormlWeb"/>
        <w:jc w:val="both"/>
      </w:pPr>
      <w:r>
        <w:t>(2) A mezőgazdasági terület:</w:t>
      </w:r>
    </w:p>
    <w:p w:rsidR="0072641A" w:rsidRDefault="0072641A" w:rsidP="009E1E94">
      <w:pPr>
        <w:pStyle w:val="NormlWeb"/>
        <w:jc w:val="both"/>
      </w:pPr>
      <w:proofErr w:type="gramStart"/>
      <w:r>
        <w:rPr>
          <w:rStyle w:val="Kiemels"/>
        </w:rPr>
        <w:t>a</w:t>
      </w:r>
      <w:proofErr w:type="gramEnd"/>
      <w:r>
        <w:rPr>
          <w:rStyle w:val="Kiemels"/>
        </w:rPr>
        <w:t xml:space="preserve">) </w:t>
      </w:r>
      <w:r>
        <w:t>kertes,</w:t>
      </w:r>
    </w:p>
    <w:p w:rsidR="0072641A" w:rsidRDefault="0072641A" w:rsidP="009E1E94">
      <w:pPr>
        <w:pStyle w:val="NormlWeb"/>
        <w:jc w:val="both"/>
      </w:pPr>
      <w:r>
        <w:rPr>
          <w:rStyle w:val="Kiemels"/>
        </w:rPr>
        <w:t xml:space="preserve">b) </w:t>
      </w:r>
      <w:r>
        <w:t>általános mezőgazdasági terület lehet.</w:t>
      </w:r>
    </w:p>
    <w:p w:rsidR="0072641A" w:rsidRDefault="0072641A" w:rsidP="009E1E94">
      <w:pPr>
        <w:pStyle w:val="NormlWeb"/>
        <w:jc w:val="both"/>
      </w:pPr>
      <w:r>
        <w:t>(3) A mezőgazdasági területen</w:t>
      </w:r>
    </w:p>
    <w:p w:rsidR="0072641A" w:rsidRDefault="0072641A" w:rsidP="009E1E94">
      <w:pPr>
        <w:pStyle w:val="NormlWeb"/>
        <w:jc w:val="both"/>
      </w:pPr>
      <w:r>
        <w:t>1. a 720 m</w:t>
      </w:r>
      <w:r>
        <w:rPr>
          <w:vertAlign w:val="superscript"/>
        </w:rPr>
        <w:t>2</w:t>
      </w:r>
      <w:r>
        <w:t xml:space="preserve"> </w:t>
      </w:r>
      <w:proofErr w:type="spellStart"/>
      <w:r>
        <w:t>-t</w:t>
      </w:r>
      <w:proofErr w:type="spellEnd"/>
      <w:r>
        <w:t xml:space="preserve"> el nem érő területű telken építményt elhelyezni nem szabad,</w:t>
      </w:r>
    </w:p>
    <w:p w:rsidR="0072641A" w:rsidRPr="0072641A" w:rsidRDefault="0072641A" w:rsidP="009E1E94">
      <w:pPr>
        <w:pStyle w:val="NormlWeb"/>
        <w:jc w:val="both"/>
        <w:rPr>
          <w:i/>
          <w:u w:val="single"/>
        </w:rPr>
      </w:pPr>
      <w:r w:rsidRPr="0072641A">
        <w:rPr>
          <w:i/>
          <w:u w:val="single"/>
        </w:rPr>
        <w:t>2. a 720 1500 m</w:t>
      </w:r>
      <w:r w:rsidRPr="0072641A">
        <w:rPr>
          <w:i/>
          <w:u w:val="single"/>
          <w:vertAlign w:val="superscript"/>
        </w:rPr>
        <w:t>2</w:t>
      </w:r>
      <w:r w:rsidRPr="0072641A">
        <w:rPr>
          <w:i/>
          <w:u w:val="single"/>
        </w:rPr>
        <w:t xml:space="preserve"> közötti területnagyságú telken a nádas, a gyep és a szántó művelési ágban nyilvántartottak kivételével 3%-os beépítettséggel elsősorban a tárolás célját szolgáló egy gazdasági épület és terepszint alatti építmény (pince) helyezhető el,</w:t>
      </w:r>
    </w:p>
    <w:p w:rsidR="0072641A" w:rsidRDefault="0072641A" w:rsidP="009E1E94">
      <w:pPr>
        <w:pStyle w:val="NormlWeb"/>
        <w:jc w:val="both"/>
      </w:pPr>
      <w:r>
        <w:t>3. az 1500 m</w:t>
      </w:r>
      <w:r>
        <w:rPr>
          <w:vertAlign w:val="superscript"/>
        </w:rPr>
        <w:t>2</w:t>
      </w:r>
      <w:r>
        <w:t xml:space="preserve"> </w:t>
      </w:r>
      <w:proofErr w:type="spellStart"/>
      <w:r>
        <w:t>-t</w:t>
      </w:r>
      <w:proofErr w:type="spellEnd"/>
      <w:r>
        <w:t xml:space="preserve"> meghaladó területű telken építmény 3%-os beépítettséggel helyezhető el.</w:t>
      </w:r>
    </w:p>
    <w:p w:rsidR="0072641A" w:rsidRDefault="0072641A" w:rsidP="009E1E94">
      <w:pPr>
        <w:pStyle w:val="NormlWeb"/>
        <w:jc w:val="both"/>
      </w:pPr>
      <w:r>
        <w:t xml:space="preserve">(4) A mezőgazdasági területen </w:t>
      </w:r>
      <w:r w:rsidRPr="0072641A">
        <w:rPr>
          <w:i/>
          <w:u w:val="single"/>
        </w:rPr>
        <w:t xml:space="preserve">lakóépület </w:t>
      </w:r>
      <w:r>
        <w:t xml:space="preserve">szőlő, gyümölcsös és </w:t>
      </w:r>
      <w:proofErr w:type="gramStart"/>
      <w:r>
        <w:t>kert művelési</w:t>
      </w:r>
      <w:proofErr w:type="gramEnd"/>
      <w:r>
        <w:t xml:space="preserve"> ág esetén 3000 m</w:t>
      </w:r>
      <w:r>
        <w:rPr>
          <w:vertAlign w:val="superscript"/>
        </w:rPr>
        <w:t>2</w:t>
      </w:r>
      <w:r>
        <w:t xml:space="preserve"> , egyéb művelési ág esetén 6000 m</w:t>
      </w:r>
      <w:r>
        <w:rPr>
          <w:vertAlign w:val="superscript"/>
        </w:rPr>
        <w:t>2</w:t>
      </w:r>
      <w:r>
        <w:t xml:space="preserve"> telekterület felett helyezhető el úgy, hogy az a megengedett 3%-os beépítettség felét nem haladhatja meg. A különálló lakóépület építménymagassága legfeljebb 7,5 m lehet.</w:t>
      </w:r>
    </w:p>
    <w:p w:rsidR="0072641A" w:rsidRDefault="0072641A" w:rsidP="009E1E94">
      <w:pPr>
        <w:pStyle w:val="NormlWeb"/>
        <w:jc w:val="both"/>
      </w:pPr>
      <w:r>
        <w:rPr>
          <w:rStyle w:val="Kiemels2"/>
        </w:rPr>
        <w:t>A telek beépítésének feltételei</w:t>
      </w:r>
    </w:p>
    <w:p w:rsidR="0072641A" w:rsidRDefault="0072641A" w:rsidP="009E1E94">
      <w:pPr>
        <w:pStyle w:val="NormlWeb"/>
        <w:jc w:val="both"/>
      </w:pPr>
      <w:r>
        <w:rPr>
          <w:rStyle w:val="Kiemels2"/>
        </w:rPr>
        <w:t>33. §</w:t>
      </w:r>
      <w:r>
        <w:t xml:space="preserve"> Épület csak olyan telken helyezhető el, amelynek</w:t>
      </w:r>
    </w:p>
    <w:p w:rsidR="0072641A" w:rsidRDefault="0072641A" w:rsidP="009E1E94">
      <w:pPr>
        <w:pStyle w:val="NormlWeb"/>
        <w:jc w:val="both"/>
      </w:pPr>
      <w:r>
        <w:t>1. megközelíthetősége - beépítésre nem szánt területen a honvédelmi és katonai, valamint nemzetbiztonsági célú épület elhelyezésére szolgáló telek kivételével - gépjárművel közterületről vagy magánútról közvetlenül,</w:t>
      </w:r>
    </w:p>
    <w:p w:rsidR="0072641A" w:rsidRDefault="0072641A" w:rsidP="009E1E94">
      <w:pPr>
        <w:pStyle w:val="NormlWeb"/>
        <w:jc w:val="both"/>
      </w:pPr>
      <w:r>
        <w:lastRenderedPageBreak/>
        <w:t>2. a rendeltetésszerű használathoz szükséges villamos energia, ivóvíz (szükség esetén technológiai víz),</w:t>
      </w:r>
    </w:p>
    <w:p w:rsidR="0072641A" w:rsidRDefault="0072641A" w:rsidP="009E1E94">
      <w:pPr>
        <w:pStyle w:val="NormlWeb"/>
        <w:jc w:val="both"/>
      </w:pPr>
      <w:r>
        <w:t>3. a keletkező szennyvíz és a csapadékvíz elvezetése vagy ártalommentes elhelyezése,</w:t>
      </w:r>
    </w:p>
    <w:p w:rsidR="0072641A" w:rsidRDefault="0072641A" w:rsidP="009E1E94">
      <w:pPr>
        <w:pStyle w:val="NormlWeb"/>
        <w:jc w:val="both"/>
      </w:pPr>
      <w:r>
        <w:t>4. a használat során keletkező hulladék elszállításának vagy ártalommentes elhelyezésének, illetőleg házilagos komposztálásának a lehetősége</w:t>
      </w:r>
    </w:p>
    <w:p w:rsidR="0072641A" w:rsidRDefault="0072641A" w:rsidP="009E1E94">
      <w:pPr>
        <w:pStyle w:val="NormlWeb"/>
        <w:jc w:val="both"/>
      </w:pPr>
      <w:proofErr w:type="gramStart"/>
      <w:r>
        <w:t>biztosított</w:t>
      </w:r>
      <w:proofErr w:type="gramEnd"/>
      <w:r>
        <w:t>, valamint</w:t>
      </w:r>
    </w:p>
    <w:p w:rsidR="0072641A" w:rsidRDefault="0072641A" w:rsidP="009E1E94">
      <w:pPr>
        <w:pStyle w:val="NormlWeb"/>
        <w:jc w:val="both"/>
      </w:pPr>
      <w:r>
        <w:t>5. a rendeltetésszerű használathoz szükséges gépkocsi elhelyezése a 42. §</w:t>
      </w:r>
      <w:proofErr w:type="spellStart"/>
      <w:r>
        <w:t>-ban</w:t>
      </w:r>
      <w:proofErr w:type="spellEnd"/>
      <w:r>
        <w:t xml:space="preserve"> előírtak szerint biztosítható.</w:t>
      </w:r>
    </w:p>
    <w:p w:rsidR="000560F3" w:rsidRDefault="000560F3" w:rsidP="009E1E94">
      <w:pPr>
        <w:jc w:val="both"/>
      </w:pPr>
    </w:p>
    <w:sectPr w:rsidR="0005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1A"/>
    <w:rsid w:val="000560F3"/>
    <w:rsid w:val="0072641A"/>
    <w:rsid w:val="00914305"/>
    <w:rsid w:val="00954D87"/>
    <w:rsid w:val="009C1690"/>
    <w:rsid w:val="009E1E94"/>
    <w:rsid w:val="00C2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B0989-1158-442C-9B9D-BCAF08C2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2641A"/>
    <w:pPr>
      <w:keepNext/>
      <w:spacing w:after="0" w:line="240" w:lineRule="atLeast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2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641A"/>
    <w:rPr>
      <w:b/>
      <w:bCs/>
    </w:rPr>
  </w:style>
  <w:style w:type="character" w:styleId="Kiemels">
    <w:name w:val="Emphasis"/>
    <w:basedOn w:val="Bekezdsalapbettpusa"/>
    <w:uiPriority w:val="20"/>
    <w:qFormat/>
    <w:rsid w:val="0072641A"/>
    <w:rPr>
      <w:i/>
      <w:iCs/>
    </w:rPr>
  </w:style>
  <w:style w:type="character" w:customStyle="1" w:styleId="Cmsor1Char">
    <w:name w:val="Címsor 1 Char"/>
    <w:basedOn w:val="Bekezdsalapbettpusa"/>
    <w:link w:val="Cmsor1"/>
    <w:rsid w:val="0072641A"/>
    <w:rPr>
      <w:rFonts w:ascii="Arial" w:eastAsia="Times New Roman" w:hAnsi="Arial" w:cs="Times New Roman"/>
      <w:b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Horváth Tamásné</cp:lastModifiedBy>
  <cp:revision>3</cp:revision>
  <dcterms:created xsi:type="dcterms:W3CDTF">2015-09-18T07:28:00Z</dcterms:created>
  <dcterms:modified xsi:type="dcterms:W3CDTF">2015-09-18T09:05:00Z</dcterms:modified>
</cp:coreProperties>
</file>