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F86" w:rsidRDefault="00551F86" w:rsidP="00551F86">
      <w:pPr>
        <w:jc w:val="center"/>
        <w:rPr>
          <w:rFonts w:ascii="Palatino Linotype" w:hAnsi="Palatino Linotype"/>
          <w:b/>
          <w:bCs/>
          <w:sz w:val="24"/>
          <w:szCs w:val="24"/>
        </w:rPr>
      </w:pPr>
      <w:r>
        <w:rPr>
          <w:rFonts w:ascii="Palatino Linotype" w:eastAsia="Times New Roman" w:hAnsi="Palatino Linotype"/>
          <w:b/>
          <w:bCs/>
          <w:sz w:val="24"/>
          <w:szCs w:val="24"/>
        </w:rPr>
        <w:t>Az általános iskolai felzárkóztató képzések</w:t>
      </w:r>
      <w:bookmarkStart w:id="0" w:name="_GoBack"/>
      <w:bookmarkEnd w:id="0"/>
    </w:p>
    <w:p w:rsidR="00551F86" w:rsidRDefault="00551F86" w:rsidP="00551F86">
      <w:pPr>
        <w:jc w:val="center"/>
        <w:rPr>
          <w:rFonts w:ascii="Palatino Linotype" w:hAnsi="Palatino Linotype"/>
          <w:b/>
          <w:bCs/>
          <w:sz w:val="24"/>
          <w:szCs w:val="24"/>
        </w:rPr>
      </w:pPr>
      <w:r>
        <w:rPr>
          <w:rFonts w:ascii="Palatino Linotype" w:hAnsi="Palatino Linotype"/>
          <w:b/>
          <w:bCs/>
          <w:sz w:val="24"/>
          <w:szCs w:val="24"/>
        </w:rPr>
        <w:t>Tájékoztató</w:t>
      </w:r>
    </w:p>
    <w:p w:rsidR="00551F86" w:rsidRDefault="00551F86" w:rsidP="00551F86">
      <w:pPr>
        <w:jc w:val="both"/>
        <w:rPr>
          <w:rFonts w:ascii="Palatino Linotype" w:hAnsi="Palatino Linotype"/>
          <w:sz w:val="24"/>
          <w:szCs w:val="24"/>
        </w:rPr>
      </w:pPr>
    </w:p>
    <w:p w:rsidR="00551F86" w:rsidRDefault="00551F86" w:rsidP="00551F86">
      <w:pPr>
        <w:pStyle w:val="Cmsor2"/>
        <w:spacing w:before="0"/>
        <w:rPr>
          <w:rFonts w:ascii="Palatino Linotype" w:eastAsia="Times New Roman" w:hAnsi="Palatino Linotype"/>
          <w:b/>
          <w:bCs/>
          <w:color w:val="auto"/>
          <w:sz w:val="24"/>
          <w:szCs w:val="24"/>
        </w:rPr>
      </w:pPr>
      <w:bookmarkStart w:id="1" w:name="_Toc493671322"/>
      <w:r>
        <w:rPr>
          <w:rFonts w:ascii="Palatino Linotype" w:eastAsia="Times New Roman" w:hAnsi="Palatino Linotype"/>
          <w:b/>
          <w:bCs/>
          <w:color w:val="auto"/>
          <w:sz w:val="24"/>
          <w:szCs w:val="24"/>
        </w:rPr>
        <w:t>Az EFOP 3.7.1-17 „Aktívan a tudásért” kiemelt projekt célja</w:t>
      </w:r>
      <w:bookmarkEnd w:id="1"/>
    </w:p>
    <w:p w:rsidR="00551F86" w:rsidRDefault="00551F86" w:rsidP="00551F86">
      <w:pPr>
        <w:jc w:val="both"/>
        <w:rPr>
          <w:rFonts w:ascii="Palatino Linotype" w:hAnsi="Palatino Linotype"/>
          <w:sz w:val="24"/>
          <w:szCs w:val="24"/>
        </w:rPr>
      </w:pPr>
      <w:r>
        <w:rPr>
          <w:rFonts w:ascii="Palatino Linotype" w:hAnsi="Palatino Linotype"/>
          <w:sz w:val="24"/>
          <w:szCs w:val="24"/>
        </w:rPr>
        <w:t xml:space="preserve">A Magyar Nemzeti Társadalmi és Felzárkózási Stratégia célkitűzéseihez igazodva az EFOP-3.7.1-17 kiemelt projekt elsődleges célja a 18—55 év közötti, alacsony iskolai végzettségű, illetve végzettséggel nem rendelkező hátrányos helyzetű személyek foglalkoztatási esélyeinek növelése, munkaerő-piaci és ezáltal társadalmi helyzetük javítása. </w:t>
      </w:r>
    </w:p>
    <w:p w:rsidR="00551F86" w:rsidRDefault="00551F86" w:rsidP="00551F86">
      <w:pPr>
        <w:jc w:val="both"/>
        <w:rPr>
          <w:rFonts w:ascii="Palatino Linotype" w:hAnsi="Palatino Linotype"/>
          <w:sz w:val="24"/>
          <w:szCs w:val="24"/>
        </w:rPr>
      </w:pPr>
      <w:r>
        <w:rPr>
          <w:rFonts w:ascii="Palatino Linotype" w:hAnsi="Palatino Linotype"/>
          <w:sz w:val="24"/>
          <w:szCs w:val="24"/>
        </w:rPr>
        <w:t>Az alapfokú iskolai végzettséggel nem rendelkezők és az alacsony iskolai végzettségűek esetében a projekt feladata a személyek bevonása a képzési programokba, ezáltal javítva foglalkoztathatósági esélyeiket. Az EFOP-3.7.1-17 európai uniós fejlesztés az alapfokú iskolai végzettséggel nem rendelkező felnőttek számára minden évfolyamon felzárkóztató általános iskolai képzéseket szervez és valósít meg. A program prioritása a 7-8. osztály befejezését igénylők általános iskolai képzésbe történő bevonása.</w:t>
      </w:r>
    </w:p>
    <w:p w:rsidR="00551F86" w:rsidRDefault="00551F86" w:rsidP="00551F86">
      <w:pPr>
        <w:jc w:val="both"/>
        <w:rPr>
          <w:rFonts w:ascii="Palatino Linotype" w:hAnsi="Palatino Linotype"/>
          <w:sz w:val="24"/>
          <w:szCs w:val="24"/>
        </w:rPr>
      </w:pPr>
    </w:p>
    <w:p w:rsidR="00551F86" w:rsidRDefault="00551F86" w:rsidP="00551F86">
      <w:pPr>
        <w:jc w:val="both"/>
        <w:rPr>
          <w:rFonts w:ascii="Palatino Linotype" w:hAnsi="Palatino Linotype"/>
          <w:sz w:val="24"/>
          <w:szCs w:val="24"/>
        </w:rPr>
      </w:pPr>
    </w:p>
    <w:p w:rsidR="00551F86" w:rsidRDefault="00551F86" w:rsidP="00551F86">
      <w:pPr>
        <w:pStyle w:val="Cmsor2"/>
        <w:spacing w:before="0"/>
        <w:rPr>
          <w:rFonts w:ascii="Palatino Linotype" w:eastAsia="Times New Roman" w:hAnsi="Palatino Linotype"/>
          <w:b/>
          <w:bCs/>
          <w:color w:val="auto"/>
          <w:sz w:val="24"/>
          <w:szCs w:val="24"/>
        </w:rPr>
      </w:pPr>
      <w:r>
        <w:rPr>
          <w:rFonts w:ascii="Palatino Linotype" w:eastAsia="Times New Roman" w:hAnsi="Palatino Linotype"/>
          <w:b/>
          <w:bCs/>
          <w:color w:val="auto"/>
          <w:sz w:val="24"/>
          <w:szCs w:val="24"/>
        </w:rPr>
        <w:t>Az általános iskolai felzárkóztató képzések célja</w:t>
      </w:r>
    </w:p>
    <w:p w:rsidR="00551F86" w:rsidRDefault="00551F86" w:rsidP="00551F86">
      <w:pPr>
        <w:jc w:val="both"/>
        <w:rPr>
          <w:rFonts w:ascii="Palatino Linotype" w:hAnsi="Palatino Linotype"/>
          <w:sz w:val="24"/>
          <w:szCs w:val="24"/>
        </w:rPr>
      </w:pPr>
      <w:r>
        <w:rPr>
          <w:rFonts w:ascii="Palatino Linotype" w:hAnsi="Palatino Linotype"/>
          <w:sz w:val="24"/>
          <w:szCs w:val="24"/>
        </w:rPr>
        <w:t xml:space="preserve">Az általános iskolai felzárkóztató képzések célja az alapfokú iskolai végzettséggel nem rendelkező felnőttek felzárkóztatása, általános iskolai bizonyítványhoz juttatása, ezzel az alapfokú iskolai végzettség megszerzése. </w:t>
      </w:r>
    </w:p>
    <w:p w:rsidR="00551F86" w:rsidRDefault="00551F86" w:rsidP="00551F86">
      <w:pPr>
        <w:jc w:val="both"/>
        <w:rPr>
          <w:rFonts w:ascii="Palatino Linotype" w:hAnsi="Palatino Linotype"/>
          <w:sz w:val="24"/>
          <w:szCs w:val="24"/>
        </w:rPr>
      </w:pPr>
      <w:r>
        <w:rPr>
          <w:rFonts w:ascii="Palatino Linotype" w:hAnsi="Palatino Linotype"/>
          <w:sz w:val="24"/>
          <w:szCs w:val="24"/>
        </w:rPr>
        <w:t xml:space="preserve">Az 5—8. évfolyamra kiterjedő, </w:t>
      </w:r>
      <w:proofErr w:type="spellStart"/>
      <w:r>
        <w:rPr>
          <w:rFonts w:ascii="Palatino Linotype" w:hAnsi="Palatino Linotype"/>
          <w:sz w:val="24"/>
          <w:szCs w:val="24"/>
        </w:rPr>
        <w:t>évfolyamonként</w:t>
      </w:r>
      <w:proofErr w:type="spellEnd"/>
      <w:r>
        <w:rPr>
          <w:rFonts w:ascii="Palatino Linotype" w:hAnsi="Palatino Linotype"/>
          <w:sz w:val="24"/>
          <w:szCs w:val="24"/>
        </w:rPr>
        <w:t xml:space="preserve"> 400 (az összevont 7-8. évfolyamos képzésen 650) tanórát tartalmazó képzés a Nemzeti alaptanterv és a felnőttoktatás számára készült Kerettantervek alapján összeállított tantárgyi tartalmakra épülő képzési modulokból áll. A képzési modulok tananyagegységei ismeretanyagának az elsajátításával/elsajátíttatásával és az ismeretek gyakorlati alkalmazását lehetővé tevő készségek fejlesztésével a képzés célja a résztvevők felkészítése egy sikeres osztályozó vizsga letételére, amellyel lehetővé válik számukra az általános iskola felsőbb évfolyamára lépés, illetve az általános iskolai tanulmányok befejezése, majd a szakképzésbe történő bekapcsolódás. </w:t>
      </w:r>
    </w:p>
    <w:p w:rsidR="00551F86" w:rsidRDefault="00551F86" w:rsidP="00551F86">
      <w:pPr>
        <w:rPr>
          <w:rFonts w:ascii="Palatino Linotype" w:hAnsi="Palatino Linotype"/>
        </w:rPr>
      </w:pPr>
    </w:p>
    <w:p w:rsidR="00551F86" w:rsidRDefault="00551F86" w:rsidP="00551F86">
      <w:pPr>
        <w:rPr>
          <w:rFonts w:ascii="Palatino Linotype" w:hAnsi="Palatino Linotype"/>
        </w:rPr>
      </w:pPr>
    </w:p>
    <w:p w:rsidR="00551F86" w:rsidRDefault="00551F86" w:rsidP="00551F86">
      <w:pPr>
        <w:autoSpaceDE w:val="0"/>
        <w:autoSpaceDN w:val="0"/>
        <w:jc w:val="both"/>
        <w:rPr>
          <w:rFonts w:ascii="Palatino Linotype" w:hAnsi="Palatino Linotype"/>
          <w:sz w:val="24"/>
          <w:szCs w:val="24"/>
        </w:rPr>
      </w:pPr>
      <w:bookmarkStart w:id="2" w:name="_Toc493671324"/>
      <w:r>
        <w:rPr>
          <w:rFonts w:ascii="Palatino Linotype" w:hAnsi="Palatino Linotype"/>
          <w:b/>
          <w:bCs/>
          <w:sz w:val="24"/>
          <w:szCs w:val="24"/>
        </w:rPr>
        <w:t>Az általános iskolai felzárkóztató képzések célcsoportja</w:t>
      </w:r>
      <w:bookmarkEnd w:id="2"/>
    </w:p>
    <w:p w:rsidR="00551F86" w:rsidRDefault="00551F86" w:rsidP="00551F86">
      <w:pPr>
        <w:autoSpaceDE w:val="0"/>
        <w:autoSpaceDN w:val="0"/>
        <w:jc w:val="both"/>
        <w:rPr>
          <w:rFonts w:ascii="Palatino Linotype" w:hAnsi="Palatino Linotype"/>
          <w:sz w:val="24"/>
          <w:szCs w:val="24"/>
        </w:rPr>
      </w:pPr>
      <w:r>
        <w:rPr>
          <w:rFonts w:ascii="Palatino Linotype" w:hAnsi="Palatino Linotype"/>
          <w:sz w:val="24"/>
          <w:szCs w:val="24"/>
        </w:rPr>
        <w:t xml:space="preserve">Az általános iskolai felzárkóztató képzések közvetlen célcsoportjába tartoznak a munkaerő-piaci szempontból hátrányos helyzetű, 18—55 év közötti, alapfokú iskolai végzettséggel nem rendelkező személyek, akik </w:t>
      </w:r>
    </w:p>
    <w:tbl>
      <w:tblPr>
        <w:tblW w:w="0" w:type="auto"/>
        <w:tblCellMar>
          <w:left w:w="0" w:type="dxa"/>
          <w:right w:w="0" w:type="dxa"/>
        </w:tblCellMar>
        <w:tblLook w:val="04A0" w:firstRow="1" w:lastRow="0" w:firstColumn="1" w:lastColumn="0" w:noHBand="0" w:noVBand="1"/>
      </w:tblPr>
      <w:tblGrid>
        <w:gridCol w:w="4243"/>
        <w:gridCol w:w="4809"/>
      </w:tblGrid>
      <w:tr w:rsidR="00551F86" w:rsidTr="00551F86">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F86" w:rsidRDefault="00551F86">
            <w:pPr>
              <w:autoSpaceDE w:val="0"/>
              <w:autoSpaceDN w:val="0"/>
              <w:rPr>
                <w:rFonts w:ascii="Palatino Linotype" w:hAnsi="Palatino Linotype"/>
              </w:rPr>
            </w:pPr>
            <w:r>
              <w:rPr>
                <w:rFonts w:ascii="Palatino Linotype" w:hAnsi="Palatino Linotype"/>
              </w:rPr>
              <w:t>5. osztályba történő beiratkozás esetén</w:t>
            </w:r>
          </w:p>
        </w:tc>
        <w:tc>
          <w:tcPr>
            <w:tcW w:w="4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1F86" w:rsidRDefault="00551F86">
            <w:pPr>
              <w:autoSpaceDE w:val="0"/>
              <w:autoSpaceDN w:val="0"/>
              <w:jc w:val="both"/>
              <w:rPr>
                <w:rFonts w:ascii="Palatino Linotype" w:hAnsi="Palatino Linotype"/>
              </w:rPr>
            </w:pPr>
            <w:r>
              <w:rPr>
                <w:rFonts w:ascii="Palatino Linotype" w:hAnsi="Palatino Linotype"/>
              </w:rPr>
              <w:t>4. osztályos (nem magasabb és nem alacsonyabb) végzettséggel rendelkeznek.</w:t>
            </w:r>
          </w:p>
        </w:tc>
      </w:tr>
      <w:tr w:rsidR="00551F86" w:rsidTr="00551F86">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F86" w:rsidRDefault="00551F86">
            <w:pPr>
              <w:autoSpaceDE w:val="0"/>
              <w:autoSpaceDN w:val="0"/>
              <w:rPr>
                <w:rFonts w:ascii="Palatino Linotype" w:hAnsi="Palatino Linotype"/>
              </w:rPr>
            </w:pPr>
            <w:r>
              <w:rPr>
                <w:rFonts w:ascii="Palatino Linotype" w:hAnsi="Palatino Linotype"/>
              </w:rPr>
              <w:t>6. osztályba történő beiratkozás esetén</w:t>
            </w: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F86" w:rsidRDefault="00551F86">
            <w:pPr>
              <w:autoSpaceDE w:val="0"/>
              <w:autoSpaceDN w:val="0"/>
              <w:jc w:val="both"/>
              <w:rPr>
                <w:rFonts w:ascii="Palatino Linotype" w:hAnsi="Palatino Linotype"/>
              </w:rPr>
            </w:pPr>
            <w:r>
              <w:rPr>
                <w:rFonts w:ascii="Palatino Linotype" w:hAnsi="Palatino Linotype"/>
              </w:rPr>
              <w:t>5. osztályos (nem magasabb és nem alacsonyabb) végzettséggel rendelkeznek.</w:t>
            </w:r>
          </w:p>
        </w:tc>
      </w:tr>
      <w:tr w:rsidR="00551F86" w:rsidTr="00551F86">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F86" w:rsidRDefault="00551F86">
            <w:pPr>
              <w:autoSpaceDE w:val="0"/>
              <w:autoSpaceDN w:val="0"/>
              <w:rPr>
                <w:rFonts w:ascii="Palatino Linotype" w:hAnsi="Palatino Linotype"/>
              </w:rPr>
            </w:pPr>
            <w:r>
              <w:rPr>
                <w:rFonts w:ascii="Palatino Linotype" w:hAnsi="Palatino Linotype"/>
              </w:rPr>
              <w:t>7. osztályba történő beiratkozás esetén</w:t>
            </w: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F86" w:rsidRDefault="00551F86">
            <w:pPr>
              <w:autoSpaceDE w:val="0"/>
              <w:autoSpaceDN w:val="0"/>
              <w:jc w:val="both"/>
              <w:rPr>
                <w:rFonts w:ascii="Palatino Linotype" w:hAnsi="Palatino Linotype"/>
              </w:rPr>
            </w:pPr>
            <w:r>
              <w:rPr>
                <w:rFonts w:ascii="Palatino Linotype" w:hAnsi="Palatino Linotype"/>
              </w:rPr>
              <w:t>6. osztályos (nem magasabb és nem alacsonyabb) végzettséggel rendelkeznek.</w:t>
            </w:r>
          </w:p>
        </w:tc>
      </w:tr>
      <w:tr w:rsidR="00551F86" w:rsidTr="00551F86">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F86" w:rsidRDefault="00551F86">
            <w:pPr>
              <w:autoSpaceDE w:val="0"/>
              <w:autoSpaceDN w:val="0"/>
              <w:rPr>
                <w:rFonts w:ascii="Palatino Linotype" w:hAnsi="Palatino Linotype"/>
              </w:rPr>
            </w:pPr>
            <w:r>
              <w:rPr>
                <w:rFonts w:ascii="Palatino Linotype" w:hAnsi="Palatino Linotype"/>
              </w:rPr>
              <w:lastRenderedPageBreak/>
              <w:t>8. osztályba történő beiratkozás esetén</w:t>
            </w: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F86" w:rsidRDefault="00551F86">
            <w:pPr>
              <w:autoSpaceDE w:val="0"/>
              <w:autoSpaceDN w:val="0"/>
              <w:jc w:val="both"/>
              <w:rPr>
                <w:rFonts w:ascii="Palatino Linotype" w:hAnsi="Palatino Linotype"/>
              </w:rPr>
            </w:pPr>
            <w:r>
              <w:rPr>
                <w:rFonts w:ascii="Palatino Linotype" w:hAnsi="Palatino Linotype"/>
              </w:rPr>
              <w:t>7. osztályos (nem magasabb és nem alacsonyabb) végzettséggel rendelkeznek.</w:t>
            </w:r>
          </w:p>
        </w:tc>
      </w:tr>
      <w:tr w:rsidR="00551F86" w:rsidTr="00551F86">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F86" w:rsidRDefault="00551F86">
            <w:pPr>
              <w:autoSpaceDE w:val="0"/>
              <w:autoSpaceDN w:val="0"/>
              <w:rPr>
                <w:rFonts w:ascii="Palatino Linotype" w:hAnsi="Palatino Linotype"/>
              </w:rPr>
            </w:pPr>
            <w:r>
              <w:rPr>
                <w:rFonts w:ascii="Palatino Linotype" w:hAnsi="Palatino Linotype"/>
              </w:rPr>
              <w:t>7-8. osztályba történő beiratkozás esetén</w:t>
            </w:r>
          </w:p>
        </w:tc>
        <w:tc>
          <w:tcPr>
            <w:tcW w:w="4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F86" w:rsidRDefault="00551F86">
            <w:pPr>
              <w:autoSpaceDE w:val="0"/>
              <w:autoSpaceDN w:val="0"/>
              <w:jc w:val="both"/>
              <w:rPr>
                <w:rFonts w:ascii="Palatino Linotype" w:hAnsi="Palatino Linotype"/>
              </w:rPr>
            </w:pPr>
            <w:r>
              <w:rPr>
                <w:rFonts w:ascii="Palatino Linotype" w:hAnsi="Palatino Linotype"/>
              </w:rPr>
              <w:t>Legalább 6. osztályos végzettséggel rendelkeznek.</w:t>
            </w:r>
          </w:p>
        </w:tc>
      </w:tr>
    </w:tbl>
    <w:p w:rsidR="00551F86" w:rsidRDefault="00551F86" w:rsidP="00551F86">
      <w:pPr>
        <w:jc w:val="both"/>
        <w:rPr>
          <w:rFonts w:ascii="Palatino Linotype" w:hAnsi="Palatino Linotype"/>
          <w:sz w:val="24"/>
          <w:szCs w:val="24"/>
        </w:rPr>
      </w:pPr>
    </w:p>
    <w:p w:rsidR="00551F86" w:rsidRDefault="00551F86" w:rsidP="00551F86">
      <w:pPr>
        <w:jc w:val="both"/>
        <w:rPr>
          <w:rFonts w:ascii="Palatino Linotype" w:hAnsi="Palatino Linotype"/>
          <w:sz w:val="24"/>
          <w:szCs w:val="24"/>
        </w:rPr>
      </w:pPr>
      <w:r>
        <w:rPr>
          <w:rFonts w:ascii="Palatino Linotype" w:hAnsi="Palatino Linotype"/>
          <w:sz w:val="24"/>
          <w:szCs w:val="24"/>
        </w:rPr>
        <w:t xml:space="preserve">A célcsoportba tartoznak azok a felnőttek, akik legalább négy befejezett általános iskolai osztállyal rendelkeznek, és nappali rendszerű iskolai oktatásban nem tudnak részt venni, mivel olyanok a munkahelyi, családi körülményeik és az iskolai tapasztalataik (esetleg kudarcaik), hogy a hagyományos módon nem tudják elvégezni, befejezni tanulmányaikat. </w:t>
      </w:r>
    </w:p>
    <w:p w:rsidR="00551F86" w:rsidRDefault="00551F86" w:rsidP="00551F86">
      <w:pPr>
        <w:rPr>
          <w:rFonts w:ascii="Palatino Linotype" w:hAnsi="Palatino Linotype"/>
        </w:rPr>
      </w:pPr>
    </w:p>
    <w:p w:rsidR="00551F86" w:rsidRDefault="00551F86" w:rsidP="00551F86">
      <w:pPr>
        <w:rPr>
          <w:rFonts w:ascii="Palatino Linotype" w:hAnsi="Palatino Linotype"/>
        </w:rPr>
      </w:pPr>
    </w:p>
    <w:p w:rsidR="00551F86" w:rsidRDefault="00551F86" w:rsidP="00551F86">
      <w:pPr>
        <w:autoSpaceDE w:val="0"/>
        <w:autoSpaceDN w:val="0"/>
        <w:rPr>
          <w:rFonts w:ascii="Palatino Linotype" w:hAnsi="Palatino Linotype"/>
          <w:b/>
          <w:bCs/>
          <w:sz w:val="24"/>
          <w:szCs w:val="24"/>
        </w:rPr>
      </w:pPr>
      <w:bookmarkStart w:id="3" w:name="_Toc493671325"/>
      <w:r>
        <w:rPr>
          <w:rFonts w:ascii="Palatino Linotype" w:hAnsi="Palatino Linotype"/>
          <w:b/>
          <w:bCs/>
          <w:sz w:val="24"/>
          <w:szCs w:val="24"/>
        </w:rPr>
        <w:t>A képzési programok</w:t>
      </w:r>
      <w:bookmarkEnd w:id="3"/>
      <w:r>
        <w:rPr>
          <w:rFonts w:ascii="Palatino Linotype" w:hAnsi="Palatino Linotype"/>
          <w:b/>
          <w:bCs/>
          <w:sz w:val="24"/>
          <w:szCs w:val="24"/>
        </w:rPr>
        <w:t xml:space="preserve"> </w:t>
      </w:r>
    </w:p>
    <w:p w:rsidR="00551F86" w:rsidRDefault="00551F86" w:rsidP="00551F86">
      <w:pPr>
        <w:rPr>
          <w:rFonts w:ascii="Palatino Linotype" w:hAnsi="Palatino Linotype"/>
          <w:sz w:val="24"/>
          <w:szCs w:val="24"/>
        </w:rPr>
      </w:pPr>
      <w:r>
        <w:rPr>
          <w:rFonts w:ascii="Palatino Linotype" w:hAnsi="Palatino Linotype"/>
          <w:sz w:val="24"/>
          <w:szCs w:val="24"/>
        </w:rPr>
        <w:t xml:space="preserve">A képzési programok tananyagegységei a Nemzeti alaptanterv és a felnőttoktatás számára készült Kerettantervek alapján összeállított tantárgyi tartalmakra épülnek. Tartalmazzák a képzés során megszerezhető kompetenciák listáját tananyagegységekre lebontva, a programba való bekapcsolódás és a képzésben való részvétel feltételeit, az éves óraszámokat, a képzésben részt vevők teljesítményét értékelő rendszer leírását, valamint a képzés sikeres lezárásának a feltételeit. Az általános iskola 5., 6., 7. és 8. évfolyamára, valamint összevontan a 7-8. évfolyamra készült el felzárkóztató képzési program </w:t>
      </w:r>
      <w:proofErr w:type="spellStart"/>
      <w:r>
        <w:rPr>
          <w:rFonts w:ascii="Palatino Linotype" w:hAnsi="Palatino Linotype"/>
          <w:sz w:val="24"/>
          <w:szCs w:val="24"/>
        </w:rPr>
        <w:t>évfolyamonként</w:t>
      </w:r>
      <w:proofErr w:type="spellEnd"/>
      <w:r>
        <w:rPr>
          <w:rFonts w:ascii="Palatino Linotype" w:hAnsi="Palatino Linotype"/>
          <w:sz w:val="24"/>
          <w:szCs w:val="24"/>
        </w:rPr>
        <w:t xml:space="preserve"> heti 25 órás, 4 hónapos (az összevont képzés esetében 6,5 hónapos) időtartamra és 400 tanórára (az összevont képzés esetén 650 tanórára). Ezzel olyan rugalmas képzési rendszer épül fel, amelynek segítségével az iskolai végzettség az eltérő előképzettségű belépők számára is megszerezhető. </w:t>
      </w:r>
    </w:p>
    <w:p w:rsidR="00551F86" w:rsidRDefault="00551F86" w:rsidP="00551F86">
      <w:pPr>
        <w:rPr>
          <w:rFonts w:ascii="Palatino Linotype" w:hAnsi="Palatino Linotype"/>
          <w:sz w:val="24"/>
          <w:szCs w:val="24"/>
        </w:rPr>
      </w:pPr>
      <w:r>
        <w:rPr>
          <w:rFonts w:ascii="Palatino Linotype" w:hAnsi="Palatino Linotype"/>
          <w:sz w:val="24"/>
          <w:szCs w:val="24"/>
        </w:rPr>
        <w:t>A képzési programok a csatolt file-ok között megtalálhatóak.</w:t>
      </w:r>
    </w:p>
    <w:p w:rsidR="00551F86" w:rsidRDefault="00551F86" w:rsidP="00551F86">
      <w:pPr>
        <w:rPr>
          <w:rFonts w:ascii="Palatino Linotype" w:hAnsi="Palatino Linotype"/>
          <w:sz w:val="24"/>
          <w:szCs w:val="24"/>
        </w:rPr>
      </w:pPr>
    </w:p>
    <w:p w:rsidR="00551F86" w:rsidRDefault="00551F86" w:rsidP="00551F86">
      <w:pPr>
        <w:rPr>
          <w:rFonts w:ascii="Palatino Linotype" w:hAnsi="Palatino Linotype"/>
          <w:sz w:val="24"/>
          <w:szCs w:val="24"/>
        </w:rPr>
      </w:pPr>
      <w:r>
        <w:rPr>
          <w:rFonts w:ascii="Palatino Linotype" w:hAnsi="Palatino Linotype"/>
          <w:sz w:val="24"/>
          <w:szCs w:val="24"/>
        </w:rPr>
        <w:t>A képzésbe való bekapcsolódás feltétele az adott évfolyamot megelőző általános iskolai évfolyam sikeres, az eredetivel megegyező, az általános iskola által hitelesített törzslapmásolattal vagy az eredeti bizonyítvánnyal dokumentált elvégzése, valamint az értő olvasás kompetenciájának, a számolási, írás- és kommunikációs, valamint az együttműködési készségnek a megléte.</w:t>
      </w:r>
    </w:p>
    <w:p w:rsidR="00551F86" w:rsidRDefault="00551F86" w:rsidP="00551F86">
      <w:pPr>
        <w:rPr>
          <w:rFonts w:ascii="Palatino Linotype" w:hAnsi="Palatino Linotype"/>
          <w:sz w:val="24"/>
          <w:szCs w:val="24"/>
        </w:rPr>
      </w:pPr>
    </w:p>
    <w:p w:rsidR="00551F86" w:rsidRDefault="00551F86" w:rsidP="00551F86">
      <w:pPr>
        <w:rPr>
          <w:rFonts w:ascii="Palatino Linotype" w:hAnsi="Palatino Linotype"/>
        </w:rPr>
      </w:pPr>
      <w:r>
        <w:rPr>
          <w:rFonts w:ascii="Palatino Linotype" w:hAnsi="Palatino Linotype"/>
          <w:sz w:val="24"/>
          <w:szCs w:val="24"/>
        </w:rPr>
        <w:t>A képzési program megvalósításának folyamata a projekt minőségbiztosítási rendszeréhez igazítva, a Szociális és Gyermekvédelmi Főigazgatóság felnőttképzési minőségbiztosítási rendszere és a felnőttképzésről szóló 2013. évi LXXVII. törvény alapján került kidolgozásra.</w:t>
      </w:r>
    </w:p>
    <w:p w:rsidR="00551F86" w:rsidRDefault="00551F86" w:rsidP="00551F86">
      <w:pPr>
        <w:rPr>
          <w:rFonts w:ascii="Palatino Linotype" w:hAnsi="Palatino Linotype"/>
          <w:sz w:val="24"/>
          <w:szCs w:val="24"/>
        </w:rPr>
      </w:pPr>
    </w:p>
    <w:p w:rsidR="00551F86" w:rsidRDefault="00551F86" w:rsidP="00551F86">
      <w:pPr>
        <w:rPr>
          <w:rFonts w:ascii="Palatino Linotype" w:hAnsi="Palatino Linotype"/>
          <w:sz w:val="24"/>
          <w:szCs w:val="24"/>
        </w:rPr>
      </w:pPr>
    </w:p>
    <w:p w:rsidR="00551F86" w:rsidRDefault="00551F86" w:rsidP="00551F86">
      <w:pPr>
        <w:rPr>
          <w:rFonts w:ascii="Palatino Linotype" w:hAnsi="Palatino Linotype"/>
          <w:b/>
          <w:bCs/>
          <w:sz w:val="24"/>
          <w:szCs w:val="24"/>
        </w:rPr>
      </w:pPr>
      <w:r>
        <w:rPr>
          <w:rFonts w:ascii="Palatino Linotype" w:hAnsi="Palatino Linotype"/>
          <w:b/>
          <w:bCs/>
          <w:sz w:val="24"/>
          <w:szCs w:val="24"/>
        </w:rPr>
        <w:t>Megélhetési támogatás</w:t>
      </w:r>
    </w:p>
    <w:p w:rsidR="00551F86" w:rsidRDefault="00551F86" w:rsidP="00551F86">
      <w:pPr>
        <w:rPr>
          <w:rFonts w:ascii="Palatino Linotype" w:hAnsi="Palatino Linotype"/>
          <w:b/>
          <w:bCs/>
          <w:sz w:val="24"/>
          <w:szCs w:val="24"/>
        </w:rPr>
      </w:pPr>
      <w:r>
        <w:rPr>
          <w:rFonts w:ascii="Palatino Linotype" w:hAnsi="Palatino Linotype"/>
          <w:sz w:val="24"/>
          <w:szCs w:val="24"/>
        </w:rPr>
        <w:t>A hallgatók a képzés ideje alatt megélhetési támogatásban részesülnek</w:t>
      </w:r>
      <w:r>
        <w:rPr>
          <w:rFonts w:ascii="Palatino Linotype" w:hAnsi="Palatino Linotype"/>
          <w:b/>
          <w:bCs/>
          <w:sz w:val="24"/>
          <w:szCs w:val="24"/>
        </w:rPr>
        <w:t>.</w:t>
      </w:r>
    </w:p>
    <w:p w:rsidR="00551F86" w:rsidRDefault="00551F86" w:rsidP="00551F86">
      <w:pPr>
        <w:pStyle w:val="Default"/>
        <w:rPr>
          <w:sz w:val="16"/>
          <w:szCs w:val="16"/>
        </w:rPr>
      </w:pPr>
      <w:r>
        <w:rPr>
          <w:sz w:val="23"/>
          <w:szCs w:val="23"/>
        </w:rPr>
        <w:t xml:space="preserve">A megélhetési támogatás a 463/2016. (XII. 23.) Korm. rendelet rendelkezéseinek megfelelően kerül folyósításra. </w:t>
      </w:r>
    </w:p>
    <w:p w:rsidR="00551F86" w:rsidRDefault="00551F86" w:rsidP="00551F86">
      <w:pPr>
        <w:pStyle w:val="Default"/>
        <w:pageBreakBefore/>
        <w:rPr>
          <w:color w:val="auto"/>
          <w:sz w:val="23"/>
          <w:szCs w:val="23"/>
        </w:rPr>
      </w:pPr>
      <w:r>
        <w:rPr>
          <w:color w:val="auto"/>
          <w:sz w:val="23"/>
          <w:szCs w:val="23"/>
        </w:rPr>
        <w:lastRenderedPageBreak/>
        <w:t xml:space="preserve">A megélhetési támogatás összege a kormányrendelet rendelkezéseinek megfelelően megállapított összeg: </w:t>
      </w:r>
    </w:p>
    <w:p w:rsidR="00551F86" w:rsidRDefault="00551F86" w:rsidP="00551F86">
      <w:pPr>
        <w:pStyle w:val="Default"/>
        <w:rPr>
          <w:color w:val="auto"/>
          <w:sz w:val="23"/>
          <w:szCs w:val="23"/>
        </w:rPr>
      </w:pPr>
      <w:r>
        <w:rPr>
          <w:b/>
          <w:bCs/>
          <w:color w:val="auto"/>
          <w:sz w:val="23"/>
          <w:szCs w:val="23"/>
        </w:rPr>
        <w:t>N</w:t>
      </w:r>
      <w:r>
        <w:rPr>
          <w:color w:val="auto"/>
          <w:sz w:val="23"/>
          <w:szCs w:val="23"/>
        </w:rPr>
        <w:t xml:space="preserve">apibér alkalmazása esetén a 3.748 forint 80%-a - </w:t>
      </w:r>
      <w:r>
        <w:rPr>
          <w:b/>
          <w:bCs/>
          <w:color w:val="auto"/>
          <w:sz w:val="23"/>
          <w:szCs w:val="23"/>
          <w:u w:val="single"/>
        </w:rPr>
        <w:t xml:space="preserve">napi 5 órás intenzitás esetén </w:t>
      </w:r>
      <w:r>
        <w:rPr>
          <w:color w:val="auto"/>
          <w:sz w:val="23"/>
          <w:szCs w:val="23"/>
        </w:rPr>
        <w:t xml:space="preserve">-, azaz </w:t>
      </w:r>
      <w:r>
        <w:rPr>
          <w:b/>
          <w:bCs/>
          <w:color w:val="auto"/>
          <w:sz w:val="23"/>
          <w:szCs w:val="23"/>
          <w:u w:val="single"/>
        </w:rPr>
        <w:t>1.874 forint</w:t>
      </w:r>
      <w:r>
        <w:rPr>
          <w:b/>
          <w:bCs/>
          <w:color w:val="auto"/>
          <w:sz w:val="23"/>
          <w:szCs w:val="23"/>
        </w:rPr>
        <w:t xml:space="preserve">. </w:t>
      </w:r>
    </w:p>
    <w:p w:rsidR="00551F86" w:rsidRDefault="00551F86" w:rsidP="00551F86">
      <w:pPr>
        <w:pStyle w:val="Default"/>
        <w:rPr>
          <w:color w:val="auto"/>
          <w:sz w:val="23"/>
          <w:szCs w:val="23"/>
        </w:rPr>
      </w:pPr>
      <w:r>
        <w:rPr>
          <w:color w:val="auto"/>
          <w:sz w:val="23"/>
          <w:szCs w:val="23"/>
          <w:u w:val="single"/>
        </w:rPr>
        <w:t>Fennmaradó rész, a képzés befejezését igazoló tanúsítvány megszerzését követően egy összegben kerül számára kifizetésre</w:t>
      </w:r>
      <w:r>
        <w:rPr>
          <w:color w:val="auto"/>
          <w:sz w:val="23"/>
          <w:szCs w:val="23"/>
        </w:rPr>
        <w:t xml:space="preserve">: </w:t>
      </w:r>
    </w:p>
    <w:p w:rsidR="00551F86" w:rsidRDefault="00551F86" w:rsidP="00551F86">
      <w:pPr>
        <w:pStyle w:val="Default"/>
        <w:rPr>
          <w:color w:val="auto"/>
          <w:sz w:val="23"/>
          <w:szCs w:val="23"/>
        </w:rPr>
      </w:pPr>
      <w:r>
        <w:rPr>
          <w:color w:val="auto"/>
          <w:sz w:val="23"/>
          <w:szCs w:val="23"/>
        </w:rPr>
        <w:t xml:space="preserve">napibér alkalmazása esetén 3.748 forint 20%-a - napi 5 órás intenzitás esetén-, </w:t>
      </w:r>
    </w:p>
    <w:p w:rsidR="00551F86" w:rsidRDefault="00551F86" w:rsidP="00551F86">
      <w:pPr>
        <w:pStyle w:val="Default"/>
        <w:rPr>
          <w:b/>
          <w:bCs/>
          <w:color w:val="auto"/>
          <w:sz w:val="23"/>
          <w:szCs w:val="23"/>
        </w:rPr>
      </w:pPr>
      <w:r>
        <w:rPr>
          <w:color w:val="auto"/>
          <w:sz w:val="23"/>
          <w:szCs w:val="23"/>
        </w:rPr>
        <w:t xml:space="preserve">azaz </w:t>
      </w:r>
      <w:r>
        <w:rPr>
          <w:b/>
          <w:bCs/>
          <w:color w:val="auto"/>
          <w:sz w:val="23"/>
          <w:szCs w:val="23"/>
          <w:u w:val="single"/>
        </w:rPr>
        <w:t>468 forint</w:t>
      </w:r>
      <w:r>
        <w:rPr>
          <w:b/>
          <w:bCs/>
          <w:color w:val="auto"/>
          <w:sz w:val="23"/>
          <w:szCs w:val="23"/>
        </w:rPr>
        <w:t xml:space="preserve">. </w:t>
      </w:r>
    </w:p>
    <w:p w:rsidR="00551F86" w:rsidRDefault="00551F86" w:rsidP="00551F86">
      <w:pPr>
        <w:rPr>
          <w:rFonts w:ascii="Palatino Linotype" w:hAnsi="Palatino Linotype"/>
          <w:b/>
          <w:bCs/>
        </w:rPr>
      </w:pPr>
    </w:p>
    <w:p w:rsidR="00551F86" w:rsidRDefault="00551F86" w:rsidP="00551F86">
      <w:pPr>
        <w:rPr>
          <w:rFonts w:ascii="Palatino Linotype" w:hAnsi="Palatino Linotype"/>
          <w:b/>
          <w:bCs/>
        </w:rPr>
      </w:pPr>
    </w:p>
    <w:p w:rsidR="00551F86" w:rsidRDefault="00551F86" w:rsidP="00551F86">
      <w:pPr>
        <w:pStyle w:val="Cmsor2"/>
        <w:spacing w:before="0"/>
        <w:rPr>
          <w:rFonts w:ascii="Palatino Linotype" w:eastAsia="Times New Roman" w:hAnsi="Palatino Linotype"/>
          <w:b/>
          <w:bCs/>
          <w:color w:val="auto"/>
          <w:sz w:val="24"/>
          <w:szCs w:val="24"/>
        </w:rPr>
      </w:pPr>
      <w:r>
        <w:rPr>
          <w:rFonts w:ascii="Palatino Linotype" w:eastAsia="Times New Roman" w:hAnsi="Palatino Linotype"/>
          <w:b/>
          <w:bCs/>
          <w:color w:val="auto"/>
          <w:sz w:val="24"/>
          <w:szCs w:val="24"/>
        </w:rPr>
        <w:t>Bérletvásárlás</w:t>
      </w:r>
    </w:p>
    <w:p w:rsidR="00551F86" w:rsidRDefault="00551F86" w:rsidP="00551F86">
      <w:pPr>
        <w:rPr>
          <w:rFonts w:ascii="Palatino Linotype" w:hAnsi="Palatino Linotype"/>
          <w:sz w:val="24"/>
          <w:szCs w:val="24"/>
        </w:rPr>
      </w:pPr>
      <w:r>
        <w:rPr>
          <w:rFonts w:ascii="Palatino Linotype" w:hAnsi="Palatino Linotype"/>
          <w:sz w:val="24"/>
          <w:szCs w:val="24"/>
        </w:rPr>
        <w:t>A képzésben részt vevőket utazási bérlet illeti meg a lakóhelyük és a képzés helyszíne között.</w:t>
      </w:r>
    </w:p>
    <w:p w:rsidR="00551F86" w:rsidRDefault="00551F86" w:rsidP="00551F86">
      <w:pPr>
        <w:rPr>
          <w:rFonts w:ascii="Palatino Linotype" w:hAnsi="Palatino Linotype"/>
          <w:sz w:val="24"/>
          <w:szCs w:val="24"/>
        </w:rPr>
      </w:pPr>
    </w:p>
    <w:p w:rsidR="00551F86" w:rsidRDefault="00551F86" w:rsidP="00551F86">
      <w:pPr>
        <w:rPr>
          <w:rFonts w:ascii="Palatino Linotype" w:hAnsi="Palatino Linotype"/>
          <w:b/>
          <w:bCs/>
          <w:color w:val="1F497D"/>
          <w:sz w:val="26"/>
          <w:szCs w:val="26"/>
        </w:rPr>
      </w:pPr>
      <w:r>
        <w:rPr>
          <w:rFonts w:ascii="Palatino Linotype" w:hAnsi="Palatino Linotype"/>
          <w:b/>
          <w:bCs/>
          <w:color w:val="1F497D"/>
          <w:sz w:val="26"/>
          <w:szCs w:val="26"/>
        </w:rPr>
        <w:t>További kérdés esetén állok szíves rendelkezésére!</w:t>
      </w:r>
    </w:p>
    <w:p w:rsidR="00551F86" w:rsidRDefault="00551F86" w:rsidP="00551F86"/>
    <w:p w:rsidR="00551F86" w:rsidRDefault="00551F86" w:rsidP="00551F86">
      <w:pPr>
        <w:shd w:val="clear" w:color="auto" w:fill="FFFFFF"/>
        <w:rPr>
          <w:rFonts w:ascii="Palatino Linotype" w:hAnsi="Palatino Linotype"/>
          <w:color w:val="1F497D"/>
          <w:sz w:val="20"/>
          <w:szCs w:val="20"/>
        </w:rPr>
      </w:pPr>
      <w:r>
        <w:rPr>
          <w:rFonts w:ascii="Palatino Linotype" w:hAnsi="Palatino Linotype"/>
          <w:color w:val="1F497D"/>
          <w:sz w:val="20"/>
          <w:szCs w:val="20"/>
        </w:rPr>
        <w:t>Üdvözlettel:</w:t>
      </w:r>
    </w:p>
    <w:p w:rsidR="00551F86" w:rsidRDefault="00551F86" w:rsidP="00551F86">
      <w:pPr>
        <w:shd w:val="clear" w:color="auto" w:fill="FFFFFF"/>
        <w:rPr>
          <w:rFonts w:ascii="Palatino Linotype" w:hAnsi="Palatino Linotype"/>
          <w:color w:val="1F497D"/>
          <w:sz w:val="20"/>
          <w:szCs w:val="20"/>
        </w:rPr>
      </w:pPr>
    </w:p>
    <w:p w:rsidR="00551F86" w:rsidRDefault="00551F86" w:rsidP="00551F86">
      <w:pPr>
        <w:shd w:val="clear" w:color="auto" w:fill="FFFFFF"/>
        <w:rPr>
          <w:rFonts w:ascii="Palatino Linotype" w:hAnsi="Palatino Linotype"/>
          <w:b/>
          <w:bCs/>
          <w:color w:val="1F497D"/>
          <w:sz w:val="20"/>
          <w:szCs w:val="20"/>
        </w:rPr>
      </w:pPr>
      <w:r>
        <w:rPr>
          <w:rFonts w:ascii="Palatino Linotype" w:hAnsi="Palatino Linotype"/>
          <w:b/>
          <w:bCs/>
          <w:color w:val="1F497D"/>
          <w:sz w:val="20"/>
          <w:szCs w:val="20"/>
        </w:rPr>
        <w:t>Vágner Evelin</w:t>
      </w:r>
    </w:p>
    <w:p w:rsidR="00551F86" w:rsidRDefault="00551F86" w:rsidP="00551F86">
      <w:pPr>
        <w:shd w:val="clear" w:color="auto" w:fill="FFFFFF"/>
        <w:rPr>
          <w:rFonts w:ascii="Palatino Linotype" w:hAnsi="Palatino Linotype"/>
          <w:color w:val="1F497D"/>
          <w:sz w:val="20"/>
          <w:szCs w:val="20"/>
        </w:rPr>
      </w:pPr>
      <w:r>
        <w:rPr>
          <w:rFonts w:ascii="Palatino Linotype" w:hAnsi="Palatino Linotype"/>
          <w:color w:val="1F497D"/>
          <w:sz w:val="20"/>
          <w:szCs w:val="20"/>
        </w:rPr>
        <w:t>megyei referens</w:t>
      </w:r>
    </w:p>
    <w:p w:rsidR="00551F86" w:rsidRDefault="00551F86" w:rsidP="00551F86">
      <w:pPr>
        <w:shd w:val="clear" w:color="auto" w:fill="FFFFFF"/>
        <w:rPr>
          <w:color w:val="1F497D"/>
        </w:rPr>
      </w:pPr>
      <w:r>
        <w:rPr>
          <w:rFonts w:ascii="Palatino Linotype" w:hAnsi="Palatino Linotype"/>
          <w:color w:val="1F497D"/>
          <w:sz w:val="20"/>
          <w:szCs w:val="20"/>
        </w:rPr>
        <w:t>EFOP-3.7.1-17-2017-00001</w:t>
      </w:r>
    </w:p>
    <w:p w:rsidR="00551F86" w:rsidRDefault="00551F86" w:rsidP="00551F86">
      <w:pPr>
        <w:rPr>
          <w:color w:val="1F497D"/>
        </w:rPr>
      </w:pPr>
      <w:r>
        <w:rPr>
          <w:noProof/>
        </w:rPr>
        <w:drawing>
          <wp:inline distT="0" distB="0" distL="0" distR="0">
            <wp:extent cx="5762625" cy="247650"/>
            <wp:effectExtent l="0" t="0" r="0" b="0"/>
            <wp:docPr id="1" name="Kép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00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2625" cy="247650"/>
                    </a:xfrm>
                    <a:prstGeom prst="rect">
                      <a:avLst/>
                    </a:prstGeom>
                    <a:noFill/>
                    <a:ln>
                      <a:noFill/>
                    </a:ln>
                  </pic:spPr>
                </pic:pic>
              </a:graphicData>
            </a:graphic>
          </wp:inline>
        </w:drawing>
      </w:r>
    </w:p>
    <w:p w:rsidR="00551F86" w:rsidRDefault="00551F86" w:rsidP="00551F86">
      <w:pPr>
        <w:shd w:val="clear" w:color="auto" w:fill="FFFFFF"/>
        <w:rPr>
          <w:color w:val="000000"/>
          <w:sz w:val="24"/>
          <w:szCs w:val="24"/>
        </w:rPr>
      </w:pPr>
      <w:r>
        <w:rPr>
          <w:rFonts w:ascii="Palatino Linotype" w:hAnsi="Palatino Linotype"/>
          <w:b/>
          <w:bCs/>
          <w:color w:val="000000"/>
        </w:rPr>
        <w:t>Szociális és Gyermekvédelmi Főigazgatóság</w:t>
      </w:r>
    </w:p>
    <w:p w:rsidR="00551F86" w:rsidRDefault="00551F86" w:rsidP="00551F86">
      <w:pPr>
        <w:shd w:val="clear" w:color="auto" w:fill="FFFFFF"/>
        <w:rPr>
          <w:color w:val="1F497D"/>
        </w:rPr>
      </w:pPr>
      <w:r>
        <w:rPr>
          <w:rFonts w:ascii="Palatino Linotype" w:hAnsi="Palatino Linotype"/>
          <w:color w:val="1F497D"/>
          <w:sz w:val="20"/>
          <w:szCs w:val="20"/>
        </w:rPr>
        <w:t>Intézményfejlesztési Főosztály</w:t>
      </w:r>
    </w:p>
    <w:p w:rsidR="00551F86" w:rsidRDefault="00551F86" w:rsidP="00551F86">
      <w:pPr>
        <w:shd w:val="clear" w:color="auto" w:fill="FFFFFF"/>
        <w:rPr>
          <w:rFonts w:ascii="Palatino Linotype" w:hAnsi="Palatino Linotype"/>
          <w:color w:val="1F497D"/>
          <w:sz w:val="20"/>
          <w:szCs w:val="20"/>
        </w:rPr>
      </w:pPr>
      <w:r>
        <w:rPr>
          <w:rFonts w:ascii="Palatino Linotype" w:hAnsi="Palatino Linotype"/>
          <w:color w:val="1F497D"/>
          <w:sz w:val="20"/>
          <w:szCs w:val="20"/>
        </w:rPr>
        <w:t>Projekttervezési</w:t>
      </w:r>
      <w:r>
        <w:rPr>
          <w:rFonts w:ascii="Palatino Linotype" w:hAnsi="Palatino Linotype"/>
          <w:b/>
          <w:bCs/>
          <w:color w:val="1F497D"/>
        </w:rPr>
        <w:t> </w:t>
      </w:r>
      <w:r>
        <w:rPr>
          <w:rFonts w:ascii="Palatino Linotype" w:hAnsi="Palatino Linotype"/>
          <w:color w:val="1F497D"/>
          <w:sz w:val="20"/>
          <w:szCs w:val="20"/>
        </w:rPr>
        <w:t>Osztály</w:t>
      </w:r>
    </w:p>
    <w:p w:rsidR="00551F86" w:rsidRDefault="00551F86" w:rsidP="00551F86">
      <w:pPr>
        <w:shd w:val="clear" w:color="auto" w:fill="FFFFFF"/>
        <w:rPr>
          <w:rFonts w:ascii="Palatino Linotype" w:hAnsi="Palatino Linotype"/>
          <w:color w:val="000000"/>
          <w:sz w:val="20"/>
          <w:szCs w:val="20"/>
        </w:rPr>
      </w:pPr>
    </w:p>
    <w:p w:rsidR="00551F86" w:rsidRDefault="00551F86" w:rsidP="00551F86">
      <w:pPr>
        <w:shd w:val="clear" w:color="auto" w:fill="FFFFFF"/>
        <w:rPr>
          <w:color w:val="000000"/>
          <w:sz w:val="24"/>
          <w:szCs w:val="24"/>
        </w:rPr>
      </w:pPr>
      <w:r>
        <w:rPr>
          <w:rFonts w:ascii="Palatino Linotype" w:hAnsi="Palatino Linotype"/>
          <w:color w:val="000000"/>
          <w:sz w:val="20"/>
          <w:szCs w:val="20"/>
        </w:rPr>
        <w:t>8200 Veszprém, Hoffer Ármin sétány 2.</w:t>
      </w:r>
    </w:p>
    <w:p w:rsidR="00551F86" w:rsidRDefault="00551F86" w:rsidP="00551F86">
      <w:pPr>
        <w:shd w:val="clear" w:color="auto" w:fill="FFFFFF"/>
        <w:rPr>
          <w:color w:val="1F497D"/>
        </w:rPr>
      </w:pPr>
      <w:r>
        <w:rPr>
          <w:rFonts w:ascii="Palatino Linotype" w:hAnsi="Palatino Linotype"/>
          <w:color w:val="1F497D"/>
          <w:sz w:val="20"/>
          <w:szCs w:val="20"/>
          <w:shd w:val="clear" w:color="auto" w:fill="FFFFFF"/>
        </w:rPr>
        <w:t>e-mail: </w:t>
      </w:r>
      <w:hyperlink r:id="rId6" w:history="1">
        <w:r>
          <w:rPr>
            <w:rStyle w:val="Hiperhivatkozs"/>
            <w:rFonts w:ascii="Palatino Linotype" w:hAnsi="Palatino Linotype"/>
            <w:sz w:val="20"/>
            <w:szCs w:val="20"/>
          </w:rPr>
          <w:t>vagner.evelin@szgyf.gov.hu</w:t>
        </w:r>
      </w:hyperlink>
    </w:p>
    <w:p w:rsidR="00551F86" w:rsidRDefault="00551F86" w:rsidP="00551F86">
      <w:pPr>
        <w:rPr>
          <w:color w:val="1F497D"/>
        </w:rPr>
      </w:pPr>
      <w:hyperlink r:id="rId7" w:tgtFrame="_blank" w:history="1">
        <w:r>
          <w:rPr>
            <w:rStyle w:val="Hiperhivatkozs"/>
            <w:rFonts w:ascii="Palatino Linotype" w:hAnsi="Palatino Linotype"/>
            <w:color w:val="1155CC"/>
            <w:sz w:val="20"/>
            <w:szCs w:val="20"/>
          </w:rPr>
          <w:t>www.szgyf.gov.hu</w:t>
        </w:r>
      </w:hyperlink>
    </w:p>
    <w:p w:rsidR="00E21253" w:rsidRDefault="00E21253"/>
    <w:sectPr w:rsidR="00E21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86"/>
    <w:rsid w:val="00551F86"/>
    <w:rsid w:val="00E212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DCEA"/>
  <w15:chartTrackingRefBased/>
  <w15:docId w15:val="{419B665B-C3E8-4E95-B75D-CB08017A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51F86"/>
    <w:pPr>
      <w:jc w:val="left"/>
    </w:pPr>
    <w:rPr>
      <w:rFonts w:ascii="Calibri" w:hAnsi="Calibri" w:cs="Calibri"/>
      <w:lang w:eastAsia="hu-HU"/>
    </w:rPr>
  </w:style>
  <w:style w:type="paragraph" w:styleId="Cmsor2">
    <w:name w:val="heading 2"/>
    <w:basedOn w:val="Norml"/>
    <w:link w:val="Cmsor2Char"/>
    <w:uiPriority w:val="9"/>
    <w:semiHidden/>
    <w:unhideWhenUsed/>
    <w:qFormat/>
    <w:rsid w:val="00551F86"/>
    <w:pPr>
      <w:keepNext/>
      <w:spacing w:before="40" w:line="252" w:lineRule="auto"/>
      <w:outlineLvl w:val="1"/>
    </w:pPr>
    <w:rPr>
      <w:rFonts w:ascii="Cambria" w:hAnsi="Cambria"/>
      <w:color w:val="365F9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551F86"/>
    <w:rPr>
      <w:rFonts w:ascii="Cambria" w:hAnsi="Cambria" w:cs="Calibri"/>
      <w:color w:val="365F91"/>
      <w:sz w:val="26"/>
      <w:szCs w:val="26"/>
      <w:lang w:eastAsia="hu-HU"/>
    </w:rPr>
  </w:style>
  <w:style w:type="character" w:styleId="Hiperhivatkozs">
    <w:name w:val="Hyperlink"/>
    <w:basedOn w:val="Bekezdsalapbettpusa"/>
    <w:uiPriority w:val="99"/>
    <w:semiHidden/>
    <w:unhideWhenUsed/>
    <w:rsid w:val="00551F86"/>
    <w:rPr>
      <w:color w:val="0000FF"/>
      <w:u w:val="single"/>
    </w:rPr>
  </w:style>
  <w:style w:type="paragraph" w:customStyle="1" w:styleId="Default">
    <w:name w:val="Default"/>
    <w:basedOn w:val="Norml"/>
    <w:rsid w:val="00551F86"/>
    <w:pPr>
      <w:autoSpaceDE w:val="0"/>
      <w:autoSpaceDN w:val="0"/>
    </w:pPr>
    <w:rPr>
      <w:rFonts w:ascii="Palatino Linotype" w:hAnsi="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zgyf.gov.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gner.evelin@szgyf.gov.hu" TargetMode="External"/><Relationship Id="rId5" Type="http://schemas.openxmlformats.org/officeDocument/2006/relationships/image" Target="cid:image001.png@01D4192E.C2B1A8C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5156</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Tamásné Horváth</dc:creator>
  <cp:keywords/>
  <dc:description/>
  <cp:lastModifiedBy>Tamásné Horváth</cp:lastModifiedBy>
  <cp:revision>1</cp:revision>
  <cp:lastPrinted>2018-07-16T10:52:00Z</cp:lastPrinted>
  <dcterms:created xsi:type="dcterms:W3CDTF">2018-07-16T10:50:00Z</dcterms:created>
  <dcterms:modified xsi:type="dcterms:W3CDTF">2018-07-16T10:52:00Z</dcterms:modified>
</cp:coreProperties>
</file>