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67" w:rsidRDefault="00A40767" w:rsidP="00A40767">
      <w:pPr>
        <w:rPr>
          <w:rFonts w:ascii="Times New Roman" w:hAnsi="Times New Roman" w:cs="Times New Roman"/>
          <w:sz w:val="24"/>
          <w:szCs w:val="24"/>
        </w:rPr>
      </w:pP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335A30">
        <w:rPr>
          <w:rFonts w:ascii="Times New Roman" w:hAnsi="Times New Roman" w:cs="Times New Roman"/>
          <w:b/>
        </w:rPr>
        <w:t>.  NAPIREND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>E l ő t e r j e s z t é s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Mindszentkálla</w:t>
      </w:r>
      <w:r w:rsidRPr="00335A30">
        <w:rPr>
          <w:rFonts w:ascii="Times New Roman" w:hAnsi="Times New Roman" w:cs="Times New Roman"/>
          <w:b/>
        </w:rPr>
        <w:t xml:space="preserve"> Község Önkormányzata Képviselő-testületének  </w:t>
      </w:r>
    </w:p>
    <w:p w:rsidR="00A40767" w:rsidRPr="00335A30" w:rsidRDefault="00E80D7C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A40767">
        <w:rPr>
          <w:rFonts w:ascii="Times New Roman" w:hAnsi="Times New Roman" w:cs="Times New Roman"/>
          <w:b/>
        </w:rPr>
        <w:t xml:space="preserve">. </w:t>
      </w:r>
      <w:r w:rsidR="00AD3B12">
        <w:rPr>
          <w:rFonts w:ascii="Times New Roman" w:hAnsi="Times New Roman" w:cs="Times New Roman"/>
          <w:b/>
        </w:rPr>
        <w:t xml:space="preserve">május 3-i </w:t>
      </w:r>
      <w:r w:rsidR="00A40767" w:rsidRPr="00335A30">
        <w:rPr>
          <w:rFonts w:ascii="Times New Roman" w:hAnsi="Times New Roman" w:cs="Times New Roman"/>
          <w:b/>
        </w:rPr>
        <w:t xml:space="preserve">nyilvános ülésére 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A40767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Tárgy:</w:t>
      </w:r>
      <w:r w:rsidRPr="00335A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Mindszentkálla önkormányzati tulajdonú ingatlanokra érkezett vételi szándék elbírálása.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Előterjesztő</w:t>
      </w:r>
      <w:r>
        <w:rPr>
          <w:rFonts w:ascii="Times New Roman" w:hAnsi="Times New Roman" w:cs="Times New Roman"/>
          <w:b/>
        </w:rPr>
        <w:t>:    Keszler Gyula</w:t>
      </w:r>
      <w:r w:rsidRPr="00335A30">
        <w:rPr>
          <w:rFonts w:ascii="Times New Roman" w:hAnsi="Times New Roman" w:cs="Times New Roman"/>
          <w:b/>
        </w:rPr>
        <w:t>, polgármester</w:t>
      </w:r>
    </w:p>
    <w:p w:rsidR="00A40767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  <w:u w:val="single"/>
        </w:rPr>
        <w:t>Előkészítette:</w:t>
      </w:r>
      <w:r w:rsidRPr="00335A30">
        <w:rPr>
          <w:rFonts w:ascii="Times New Roman" w:hAnsi="Times New Roman" w:cs="Times New Roman"/>
          <w:b/>
        </w:rPr>
        <w:t xml:space="preserve">   </w:t>
      </w:r>
      <w:r w:rsidR="00E80D7C">
        <w:rPr>
          <w:rFonts w:ascii="Times New Roman" w:hAnsi="Times New Roman" w:cs="Times New Roman"/>
          <w:b/>
        </w:rPr>
        <w:t>dr. Szabó Tímea, jegyző</w:t>
      </w:r>
    </w:p>
    <w:p w:rsidR="00AD3B12" w:rsidRPr="00335A30" w:rsidRDefault="00AD3B12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  <w:b/>
        </w:rPr>
        <w:t>----------------------------</w:t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  <w:b/>
        </w:rPr>
        <w:tab/>
      </w:r>
      <w:r w:rsidRPr="00335A30">
        <w:rPr>
          <w:rFonts w:ascii="Times New Roman" w:hAnsi="Times New Roman" w:cs="Times New Roman"/>
        </w:rPr>
        <w:t>Jogszabállyal nem ellentétes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        Előterjesztő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-----------------------------------</w:t>
      </w:r>
    </w:p>
    <w:p w:rsidR="00A40767" w:rsidRPr="00335A30" w:rsidRDefault="00A40767" w:rsidP="00A40767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 xml:space="preserve">   Dr. Szabó Tímea jegyző</w:t>
      </w:r>
    </w:p>
    <w:p w:rsidR="00A40767" w:rsidRPr="00335A30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335A30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40767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424316" w:rsidRDefault="00E80D7C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november 23-i ülésén tárgyalta a </w:t>
      </w:r>
      <w:r w:rsidR="00A40767">
        <w:rPr>
          <w:rFonts w:ascii="Times New Roman" w:hAnsi="Times New Roman" w:cs="Times New Roman"/>
          <w:sz w:val="24"/>
          <w:szCs w:val="24"/>
        </w:rPr>
        <w:t>Bánfalvi Károly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767">
        <w:rPr>
          <w:rFonts w:ascii="Times New Roman" w:hAnsi="Times New Roman" w:cs="Times New Roman"/>
          <w:sz w:val="24"/>
          <w:szCs w:val="24"/>
        </w:rPr>
        <w:t xml:space="preserve"> székesfehérvári lakos </w:t>
      </w:r>
      <w:r>
        <w:rPr>
          <w:rFonts w:ascii="Times New Roman" w:hAnsi="Times New Roman" w:cs="Times New Roman"/>
          <w:sz w:val="24"/>
          <w:szCs w:val="24"/>
        </w:rPr>
        <w:t xml:space="preserve">által benyújtott </w:t>
      </w:r>
      <w:r w:rsidR="00A40767">
        <w:rPr>
          <w:rFonts w:ascii="Times New Roman" w:hAnsi="Times New Roman" w:cs="Times New Roman"/>
          <w:sz w:val="24"/>
          <w:szCs w:val="24"/>
        </w:rPr>
        <w:t>vásárlási szándék</w:t>
      </w:r>
      <w:r>
        <w:rPr>
          <w:rFonts w:ascii="Times New Roman" w:hAnsi="Times New Roman" w:cs="Times New Roman"/>
          <w:sz w:val="24"/>
          <w:szCs w:val="24"/>
        </w:rPr>
        <w:t>ot az alábbi ingatlanokra</w:t>
      </w:r>
      <w:r w:rsidR="00424316">
        <w:rPr>
          <w:rFonts w:ascii="Times New Roman" w:hAnsi="Times New Roman" w:cs="Times New Roman"/>
          <w:sz w:val="24"/>
          <w:szCs w:val="24"/>
        </w:rPr>
        <w:t>:</w:t>
      </w:r>
      <w:r w:rsidR="00A40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16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 1194 hrsz-ú zártkert erdő</w:t>
      </w:r>
      <w:r w:rsidR="00424316">
        <w:rPr>
          <w:rFonts w:ascii="Times New Roman" w:hAnsi="Times New Roman" w:cs="Times New Roman"/>
          <w:sz w:val="24"/>
          <w:szCs w:val="24"/>
        </w:rPr>
        <w:t>,  5226 m</w:t>
      </w:r>
      <w:r w:rsidR="004243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>1069/2 hrsz-ú zártkert szántó,</w:t>
      </w:r>
      <w:r>
        <w:rPr>
          <w:rFonts w:ascii="Times New Roman" w:hAnsi="Times New Roman" w:cs="Times New Roman"/>
          <w:sz w:val="24"/>
          <w:szCs w:val="24"/>
        </w:rPr>
        <w:t xml:space="preserve"> 6011m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>
        <w:rPr>
          <w:rFonts w:ascii="Times New Roman" w:hAnsi="Times New Roman" w:cs="Times New Roman"/>
          <w:sz w:val="24"/>
          <w:szCs w:val="24"/>
        </w:rPr>
        <w:t xml:space="preserve"> 1029 hrsz-ú zártkert kert,</w:t>
      </w:r>
      <w:r>
        <w:rPr>
          <w:rFonts w:ascii="Times New Roman" w:hAnsi="Times New Roman" w:cs="Times New Roman"/>
          <w:sz w:val="24"/>
          <w:szCs w:val="24"/>
        </w:rPr>
        <w:t xml:space="preserve"> 302m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>
        <w:rPr>
          <w:rFonts w:ascii="Times New Roman" w:hAnsi="Times New Roman" w:cs="Times New Roman"/>
          <w:sz w:val="24"/>
          <w:szCs w:val="24"/>
        </w:rPr>
        <w:t xml:space="preserve"> 1108 hrsz-ú zártkert rét és út, </w:t>
      </w:r>
      <w:r>
        <w:rPr>
          <w:rFonts w:ascii="Times New Roman" w:hAnsi="Times New Roman" w:cs="Times New Roman"/>
          <w:sz w:val="24"/>
          <w:szCs w:val="24"/>
        </w:rPr>
        <w:t>1148m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P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 xml:space="preserve">1059 hrsz-ú zártkert rét, </w:t>
      </w:r>
      <w:r>
        <w:rPr>
          <w:rFonts w:ascii="Times New Roman" w:hAnsi="Times New Roman" w:cs="Times New Roman"/>
          <w:sz w:val="24"/>
          <w:szCs w:val="24"/>
        </w:rPr>
        <w:t>1151m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P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 xml:space="preserve">1040 hrsz-ú zártkert rét, </w:t>
      </w:r>
      <w:r>
        <w:rPr>
          <w:rFonts w:ascii="Times New Roman" w:hAnsi="Times New Roman" w:cs="Times New Roman"/>
          <w:sz w:val="24"/>
          <w:szCs w:val="24"/>
        </w:rPr>
        <w:t>1888m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4316" w:rsidRDefault="00424316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Mindszentkálla </w:t>
      </w:r>
      <w:r w:rsidR="00A40767">
        <w:rPr>
          <w:rFonts w:ascii="Times New Roman" w:hAnsi="Times New Roman" w:cs="Times New Roman"/>
          <w:sz w:val="24"/>
          <w:szCs w:val="24"/>
        </w:rPr>
        <w:t>892 hrsz-ú zártkert szőlő községi mintatér</w:t>
      </w:r>
      <w:r>
        <w:rPr>
          <w:rFonts w:ascii="Times New Roman" w:hAnsi="Times New Roman" w:cs="Times New Roman"/>
          <w:sz w:val="24"/>
          <w:szCs w:val="24"/>
        </w:rPr>
        <w:t xml:space="preserve"> 1466m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40767" w:rsidRPr="00424316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művelési ágú ingatlanok vonatkozásában.</w:t>
      </w:r>
    </w:p>
    <w:p w:rsidR="00A40767" w:rsidRDefault="00A40767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E80D7C" w:rsidRDefault="00E80D7C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a Képviselő-testület úgy döntött, hogy felkéri a vételi szándékot jelző Bánfalvi Károlyt, hogy ajánlatát egészítse ki a területenkénti vételár megjelölésével. A döntésről Bánfalvi Károly értesítésre került, aki </w:t>
      </w:r>
      <w:r w:rsidR="00AD3B12">
        <w:rPr>
          <w:rFonts w:ascii="Times New Roman" w:hAnsi="Times New Roman" w:cs="Times New Roman"/>
          <w:sz w:val="24"/>
          <w:szCs w:val="24"/>
        </w:rPr>
        <w:t xml:space="preserve">„kiegészítést” küldött a Képviselő-testület részére, melyet a Képviselő-testület az előző tervezett ülésén tárgyalt meg, melynek eredményeként úgy döntött, hogy az ingatlanokat értékesíteni kívánja, és felkérte a polgármestert az értékbecslések elkészíttetésére. </w:t>
      </w:r>
    </w:p>
    <w:p w:rsidR="00AD3B12" w:rsidRDefault="00AD3B12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D3B12" w:rsidRDefault="00AD3B12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elkészült értékbecslés jelen előterjesztés melléklete. </w:t>
      </w:r>
    </w:p>
    <w:p w:rsidR="00E80D7C" w:rsidRDefault="00E80D7C" w:rsidP="00A40767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Default="0031182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A felsorolt</w:t>
      </w:r>
      <w:r w:rsidR="00A40767">
        <w:rPr>
          <w:b w:val="0"/>
          <w:szCs w:val="24"/>
        </w:rPr>
        <w:t xml:space="preserve"> hrsz-ú ingatlan</w:t>
      </w:r>
      <w:r>
        <w:rPr>
          <w:b w:val="0"/>
          <w:szCs w:val="24"/>
        </w:rPr>
        <w:t>ok</w:t>
      </w:r>
      <w:r w:rsidR="00A40767">
        <w:rPr>
          <w:b w:val="0"/>
          <w:szCs w:val="24"/>
        </w:rPr>
        <w:t xml:space="preserve"> az önkormányzat vagyonáról és </w:t>
      </w:r>
      <w:r>
        <w:rPr>
          <w:b w:val="0"/>
          <w:szCs w:val="24"/>
        </w:rPr>
        <w:t>a vagyontárgyak feletti tulajdonosi jogok gyakorlásáról szóló 5/2004.(VI.21</w:t>
      </w:r>
      <w:r w:rsidR="00A40767">
        <w:rPr>
          <w:b w:val="0"/>
          <w:szCs w:val="24"/>
        </w:rPr>
        <w:t>.) önkormányzati rendelet (a továbbiakban: Vr.) értelmében az üzleti vagyoni körben szerepel</w:t>
      </w:r>
      <w:r>
        <w:rPr>
          <w:b w:val="0"/>
          <w:szCs w:val="24"/>
        </w:rPr>
        <w:t>nek</w:t>
      </w:r>
      <w:r w:rsidR="00A40767">
        <w:rPr>
          <w:b w:val="0"/>
          <w:szCs w:val="24"/>
        </w:rPr>
        <w:t xml:space="preserve">. </w:t>
      </w:r>
    </w:p>
    <w:p w:rsidR="00A40767" w:rsidRDefault="00A4076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szCs w:val="24"/>
        </w:rPr>
      </w:pPr>
    </w:p>
    <w:p w:rsidR="00311827" w:rsidRDefault="00A40767" w:rsidP="00A4076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Vr. szabályozza a vagyon elidegenítésének a szabályait. </w:t>
      </w:r>
    </w:p>
    <w:p w:rsidR="00311827" w:rsidRPr="00424316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„</w:t>
      </w:r>
      <w:r w:rsidR="00311827" w:rsidRPr="00424316">
        <w:rPr>
          <w:b/>
          <w:bCs/>
          <w:i/>
        </w:rPr>
        <w:t>Az önkormányzati vagyon értékének és a tulajdonosi jogok gyakorlójának meghatározása</w:t>
      </w:r>
    </w:p>
    <w:p w:rsidR="00311827" w:rsidRPr="00424316" w:rsidRDefault="00311827" w:rsidP="00FC550F">
      <w:pPr>
        <w:pStyle w:val="Szvegtrzsbehzssal"/>
        <w:contextualSpacing/>
        <w:jc w:val="center"/>
        <w:rPr>
          <w:b/>
          <w:bCs/>
          <w:i/>
        </w:rPr>
      </w:pPr>
      <w:r w:rsidRPr="00424316">
        <w:rPr>
          <w:b/>
          <w:bCs/>
          <w:i/>
        </w:rPr>
        <w:t>9.§.</w:t>
      </w:r>
    </w:p>
    <w:p w:rsidR="00311827" w:rsidRPr="00424316" w:rsidRDefault="00311827" w:rsidP="00FC550F">
      <w:pPr>
        <w:pStyle w:val="Szvegtrzsbehzssal"/>
        <w:contextualSpacing/>
        <w:jc w:val="center"/>
        <w:rPr>
          <w:b/>
          <w:bCs/>
          <w:i/>
        </w:rPr>
      </w:pP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lastRenderedPageBreak/>
        <w:t>(1) Az Önkormányzat ingatlan vagyonát a számviteli nyilvántartás szerinti bruttó értéken, az ingó vagyonát nyilvántartási értéken, a portfolió vagyonát – amennyiben jogszabály eltérően nem rendelkezik – névértéken tartja nyilván</w:t>
      </w:r>
    </w:p>
    <w:p w:rsidR="00311827" w:rsidRPr="00424316" w:rsidRDefault="00311827" w:rsidP="00FC550F">
      <w:pPr>
        <w:spacing w:before="0" w:beforeAutospacing="0" w:after="0" w:afterAutospacing="0"/>
        <w:ind w:left="720" w:hanging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24316">
        <w:rPr>
          <w:rFonts w:ascii="Times New Roman" w:hAnsi="Times New Roman" w:cs="Times New Roman"/>
          <w:i/>
          <w:sz w:val="24"/>
          <w:szCs w:val="24"/>
        </w:rPr>
        <w:t>(2)</w:t>
      </w:r>
      <w:r w:rsidR="00AD3B12" w:rsidRPr="004243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4316">
        <w:rPr>
          <w:rFonts w:ascii="Times New Roman" w:hAnsi="Times New Roman" w:cs="Times New Roman"/>
          <w:b/>
          <w:i/>
          <w:sz w:val="24"/>
          <w:szCs w:val="24"/>
        </w:rPr>
        <w:t>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:rsidR="00311827" w:rsidRPr="00424316" w:rsidRDefault="00311827" w:rsidP="00FC550F">
      <w:pPr>
        <w:spacing w:before="0" w:beforeAutospacing="0" w:after="0" w:afterAutospacing="0"/>
        <w:ind w:left="720" w:hanging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4316">
        <w:rPr>
          <w:rFonts w:ascii="Times New Roman" w:hAnsi="Times New Roman" w:cs="Times New Roman"/>
          <w:i/>
          <w:sz w:val="24"/>
          <w:szCs w:val="24"/>
        </w:rPr>
        <w:t>(3)</w:t>
      </w:r>
      <w:r w:rsidR="00AD3B12" w:rsidRPr="00424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316">
        <w:rPr>
          <w:rFonts w:ascii="Times New Roman" w:hAnsi="Times New Roman" w:cs="Times New Roman"/>
          <w:i/>
          <w:sz w:val="24"/>
          <w:szCs w:val="24"/>
        </w:rPr>
        <w:t>A (2) bekezdés szerinti forgalmi értékelés alapján az eladási ár meghatározásáról a Képviselő-testület dönt.</w:t>
      </w:r>
    </w:p>
    <w:p w:rsidR="00311827" w:rsidRPr="00424316" w:rsidRDefault="00311827" w:rsidP="00FC550F">
      <w:pPr>
        <w:pStyle w:val="Szvegtrzsbehzssal"/>
        <w:contextualSpacing/>
        <w:rPr>
          <w:i/>
        </w:rPr>
      </w:pP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(4) A vagyontárgy feletti tulajdonosi jog gyakorlóját az adott vagyontárgy értékétől függően kell megállapítani. Ha a hasznosítás csak a vagyontárgy egy részére vonatkozik, a vagyonrész értéke alapján hatáskörrel rendelkező szerv köteles a vagyontárgy teljes értéke alapján hatáskörrel rendelkező szerv hozzájárulását kérni a tervezett hasznosításhoz.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(5) Semmis az a szerződés, mely – a rendeltetésszerű joggyakorlás elvével és e rendelet szabályaival ellentétesen – a vagyontárgy több részletben történő elidegenítése útján vonja el a vagyontárgy értéke alapján döntésre jogosult szervtől e rendelet szerinti hatáskörét.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b/>
          <w:i/>
        </w:rPr>
      </w:pPr>
      <w:r w:rsidRPr="00424316">
        <w:rPr>
          <w:i/>
        </w:rPr>
        <w:t xml:space="preserve">(6) </w:t>
      </w:r>
      <w:r w:rsidRPr="00424316">
        <w:rPr>
          <w:b/>
          <w:i/>
        </w:rPr>
        <w:t>Forgalomképes vagyon esetén, ha a szerződés tárgya több vagyontárgy (vagyontömeg), az értékhatár – és erre tekintettel a tulajdonosi jog gyakorlójának – meghatározására a vagyontárgyak együttes értéke az irányadó. Együttes értékesítésnek, illetve hasznosításnak az tekintendő, ha a vagyontömeg elidegenítése, illetve hasznosítása csak egyetlen természetes, illetve jogi személy vagy ezek konzorciuma részére történik.</w:t>
      </w:r>
    </w:p>
    <w:p w:rsidR="00311827" w:rsidRPr="00424316" w:rsidRDefault="00311827" w:rsidP="00FC550F">
      <w:pPr>
        <w:pStyle w:val="Szvegtrzsbehzssal"/>
        <w:ind w:left="720" w:hanging="360"/>
        <w:contextualSpacing/>
        <w:rPr>
          <w:i/>
        </w:rPr>
      </w:pPr>
      <w:r w:rsidRPr="00424316">
        <w:rPr>
          <w:i/>
        </w:rPr>
        <w:t>(7) Az elővásárlási jog gyakorlása a költségvetésben e célra (vállalkozásra, vagyonhasznosításra) biztosított keret terhére történhet. Az Önkormányzatot megillető elővásárlási jog gyakorlásával kapcsolatos jognyilatkozatok tételére a vagyontárgy értéke szerint illetéke szerv jogosult.</w:t>
      </w:r>
      <w:r w:rsidR="00FC550F" w:rsidRPr="00424316">
        <w:rPr>
          <w:i/>
        </w:rPr>
        <w:t>”</w:t>
      </w:r>
    </w:p>
    <w:p w:rsidR="00311827" w:rsidRPr="00424316" w:rsidRDefault="00311827" w:rsidP="00311827">
      <w:pPr>
        <w:rPr>
          <w:rFonts w:ascii="Times New Roman" w:hAnsi="Times New Roman" w:cs="Times New Roman"/>
          <w:i/>
          <w:sz w:val="24"/>
          <w:szCs w:val="24"/>
        </w:rPr>
      </w:pPr>
    </w:p>
    <w:p w:rsidR="00FC550F" w:rsidRPr="00FC550F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„Az önkormányzati vagyon hasznosításának nyilvánossága</w:t>
      </w:r>
    </w:p>
    <w:p w:rsidR="00FC550F" w:rsidRPr="00FC550F" w:rsidRDefault="00FC550F" w:rsidP="00FC550F">
      <w:pPr>
        <w:pStyle w:val="Szvegtrzsbehzssal"/>
        <w:contextualSpacing/>
        <w:jc w:val="center"/>
        <w:rPr>
          <w:b/>
          <w:bCs/>
          <w:i/>
        </w:rPr>
      </w:pPr>
      <w:r w:rsidRPr="00FC550F">
        <w:rPr>
          <w:b/>
          <w:bCs/>
          <w:i/>
        </w:rPr>
        <w:t>13.§.</w:t>
      </w:r>
    </w:p>
    <w:p w:rsidR="00FC550F" w:rsidRPr="00FC550F" w:rsidRDefault="00FC550F" w:rsidP="00FC550F">
      <w:pPr>
        <w:spacing w:before="0" w:beforeAutospacing="0" w:after="0" w:afterAutospacing="0"/>
        <w:contextualSpacing/>
        <w:rPr>
          <w:rFonts w:ascii="Times New Roman" w:hAnsi="Times New Roman" w:cs="Times New Roman"/>
          <w:i/>
        </w:rPr>
      </w:pPr>
    </w:p>
    <w:p w:rsidR="00FC550F" w:rsidRPr="00FC550F" w:rsidRDefault="00FC550F" w:rsidP="00FC550F">
      <w:pPr>
        <w:spacing w:before="0" w:beforeAutospacing="0" w:after="0" w:afterAutospacing="0"/>
        <w:ind w:left="540" w:hanging="540"/>
        <w:contextualSpacing/>
        <w:rPr>
          <w:rFonts w:ascii="Times New Roman" w:hAnsi="Times New Roman" w:cs="Times New Roman"/>
          <w:b/>
          <w:i/>
        </w:rPr>
      </w:pPr>
      <w:r w:rsidRPr="00FC550F">
        <w:rPr>
          <w:rFonts w:ascii="Times New Roman" w:hAnsi="Times New Roman" w:cs="Times New Roman"/>
          <w:i/>
        </w:rPr>
        <w:t>(1)</w:t>
      </w:r>
      <w:r w:rsidR="00AD3B12" w:rsidRPr="00FC550F">
        <w:rPr>
          <w:rFonts w:ascii="Times New Roman" w:hAnsi="Times New Roman" w:cs="Times New Roman"/>
          <w:b/>
          <w:i/>
        </w:rPr>
        <w:t xml:space="preserve"> </w:t>
      </w:r>
      <w:r w:rsidRPr="00FC550F">
        <w:rPr>
          <w:rFonts w:ascii="Times New Roman" w:hAnsi="Times New Roman" w:cs="Times New Roman"/>
          <w:b/>
          <w:i/>
        </w:rPr>
        <w:t>10. millió forint értékhatár feletti vagyont elidegeníteni, a vagyon feletti vagyonkezelés jogát, a vagyon használatát, illetve a hasznosítás jogát átengedni – ha törvény kivételt nem tesz - csak versenyeztetés útján a legjobb ajánlatot tevő pályázó részére lehet.</w:t>
      </w:r>
    </w:p>
    <w:p w:rsidR="00FC550F" w:rsidRPr="00FC550F" w:rsidRDefault="00FC550F" w:rsidP="00FC550F">
      <w:pPr>
        <w:spacing w:before="0" w:beforeAutospacing="0" w:after="0" w:afterAutospacing="0"/>
        <w:contextualSpacing/>
        <w:rPr>
          <w:rFonts w:ascii="Times New Roman" w:hAnsi="Times New Roman" w:cs="Times New Roman"/>
          <w:i/>
        </w:rPr>
      </w:pPr>
      <w:r w:rsidRPr="00FC550F">
        <w:rPr>
          <w:rFonts w:ascii="Times New Roman" w:hAnsi="Times New Roman" w:cs="Times New Roman"/>
          <w:i/>
        </w:rPr>
        <w:t>(2)</w:t>
      </w:r>
    </w:p>
    <w:p w:rsidR="00FC550F" w:rsidRPr="00FC550F" w:rsidRDefault="00FC550F" w:rsidP="00FC550F">
      <w:pPr>
        <w:pStyle w:val="Szvegtrzsbehzssal"/>
        <w:ind w:hanging="360"/>
        <w:contextualSpacing/>
        <w:rPr>
          <w:i/>
        </w:rPr>
      </w:pPr>
      <w:r w:rsidRPr="00FC550F">
        <w:rPr>
          <w:i/>
        </w:rPr>
        <w:t>(3) A versenyeztetés módjáról, formájáról – a vagyontárgy értékéhez igazodóan – a tulajdonosi jogokat gyakorló szerv dönt. Részletes eljárási rendjét a rendelet függeléke tartalmazza.</w:t>
      </w:r>
    </w:p>
    <w:p w:rsidR="00FC550F" w:rsidRPr="00FC550F" w:rsidRDefault="00FC550F" w:rsidP="00FC550F">
      <w:pPr>
        <w:pStyle w:val="Szvegtrzsbehzssal"/>
        <w:ind w:hanging="360"/>
        <w:contextualSpacing/>
        <w:rPr>
          <w:i/>
        </w:rPr>
      </w:pPr>
      <w:r w:rsidRPr="00FC550F">
        <w:rPr>
          <w:i/>
        </w:rPr>
        <w:t>(4) A vagyontárgy nyilvános értékesítése és hasznosítása esetén a tulajdonosi jogok gyakorlójának jóváhagyása – a vagyontárgy jellegétől függően – a hasznosításra való kijelöléshez vagy a végső döntés meghozatalához szükséges. A hasznosításra kijelölő döntés más szervet vagy személyt is felhatalmazhat a hasznosítás módjának, részletes feltételeinek meghatározására.</w:t>
      </w:r>
      <w:r>
        <w:rPr>
          <w:i/>
        </w:rPr>
        <w:t>”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</w:p>
    <w:p w:rsidR="00AD3B12" w:rsidRDefault="00AD3B12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</w:p>
    <w:p w:rsidR="00AD3B12" w:rsidRDefault="00AD3B12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</w:p>
    <w:p w:rsidR="00AD3B12" w:rsidRDefault="00AD3B12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</w:p>
    <w:p w:rsidR="00AD3B12" w:rsidRDefault="00AD3B12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</w:p>
    <w:p w:rsidR="00AD3B12" w:rsidRPr="00C67615" w:rsidRDefault="00AD3B12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</w:rPr>
      </w:pP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Kérem a Tisztelt Képviselő-testületet, hogy az előterjesztést megvitatni szíveskedjen.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</w:rPr>
      </w:pPr>
    </w:p>
    <w:p w:rsidR="00FC550F" w:rsidRDefault="00FC550F" w:rsidP="00A40767">
      <w:pPr>
        <w:rPr>
          <w:rFonts w:ascii="Times New Roman" w:hAnsi="Times New Roman" w:cs="Times New Roman"/>
          <w:b/>
          <w:sz w:val="24"/>
          <w:szCs w:val="24"/>
        </w:rPr>
      </w:pPr>
    </w:p>
    <w:p w:rsidR="00A40767" w:rsidRDefault="00A40767" w:rsidP="00A40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A40767" w:rsidRDefault="00A40767" w:rsidP="00A40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„A”</w:t>
      </w:r>
    </w:p>
    <w:p w:rsidR="00A40767" w:rsidRPr="00C67615" w:rsidRDefault="00FC550F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A40767" w:rsidRPr="00C67615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Pr="00C67615" w:rsidRDefault="00E80D7C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…/2017</w:t>
      </w:r>
      <w:r w:rsidR="00A40767" w:rsidRPr="00C67615">
        <w:rPr>
          <w:rFonts w:ascii="Times New Roman" w:hAnsi="Times New Roman" w:cs="Times New Roman"/>
          <w:b/>
          <w:sz w:val="24"/>
          <w:szCs w:val="24"/>
        </w:rPr>
        <w:t>. (…) HATÁROZATA</w:t>
      </w:r>
    </w:p>
    <w:p w:rsidR="00A40767" w:rsidRPr="00C67615" w:rsidRDefault="00A40767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767" w:rsidRPr="00C67615" w:rsidRDefault="00AD3B12" w:rsidP="00A40767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A40767">
        <w:rPr>
          <w:rFonts w:ascii="Times New Roman" w:hAnsi="Times New Roman" w:cs="Times New Roman"/>
          <w:b/>
          <w:i/>
          <w:sz w:val="24"/>
          <w:szCs w:val="24"/>
        </w:rPr>
        <w:t>ngatlan</w:t>
      </w:r>
      <w:r w:rsidR="00FC550F">
        <w:rPr>
          <w:rFonts w:ascii="Times New Roman" w:hAnsi="Times New Roman" w:cs="Times New Roman"/>
          <w:b/>
          <w:i/>
          <w:sz w:val="24"/>
          <w:szCs w:val="24"/>
        </w:rPr>
        <w:t>ok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értékesítéséről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D3B12" w:rsidRDefault="00FC550F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="00A40767" w:rsidRPr="00C67615">
        <w:rPr>
          <w:rFonts w:ascii="Times New Roman" w:hAnsi="Times New Roman" w:cs="Times New Roman"/>
          <w:sz w:val="24"/>
          <w:szCs w:val="24"/>
        </w:rPr>
        <w:t xml:space="preserve"> Község Ö</w:t>
      </w:r>
      <w:r w:rsidR="00A40767">
        <w:rPr>
          <w:rFonts w:ascii="Times New Roman" w:hAnsi="Times New Roman" w:cs="Times New Roman"/>
          <w:sz w:val="24"/>
          <w:szCs w:val="24"/>
        </w:rPr>
        <w:t xml:space="preserve">nkormányzata Képviselő-testülete </w:t>
      </w:r>
      <w:r w:rsidR="00AD3B1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D3B12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 1194 hrsz-ú zártkert erdő,  5226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3B12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 1069/2 hrsz-ú zártkert szántó, 6011m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3B12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 1029 hrsz-ú zártkert kert, 302m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3B12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 1108 hrsz-ú zártkert rét és út, 1148m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3B12" w:rsidRPr="00424316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 1059 hrsz-ú zártkert rét, 1151m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3B12" w:rsidRPr="00424316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 1040 hrsz-ú zártkert rét, 1888m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3B12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Mindszentkálla 892 hrsz-ú zártkert szőlő községi mintatér 1466m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D3B12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ingatlanokat </w:t>
      </w:r>
    </w:p>
    <w:p w:rsidR="00AD3B12" w:rsidRDefault="00AD3B12" w:rsidP="00AD3B12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D3B1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12">
        <w:rPr>
          <w:rFonts w:ascii="Times New Roman" w:hAnsi="Times New Roman" w:cs="Times New Roman"/>
          <w:sz w:val="24"/>
          <w:szCs w:val="24"/>
        </w:rPr>
        <w:t>értékesíteni kívánja</w:t>
      </w:r>
      <w:r>
        <w:rPr>
          <w:rFonts w:ascii="Times New Roman" w:hAnsi="Times New Roman" w:cs="Times New Roman"/>
          <w:sz w:val="24"/>
          <w:szCs w:val="24"/>
        </w:rPr>
        <w:t xml:space="preserve"> Bánfalvi Károly (8000 Székesfehérvár, Kund u. 2.) részére</w:t>
      </w:r>
      <w:r w:rsidRPr="00AD3B12">
        <w:rPr>
          <w:rFonts w:ascii="Times New Roman" w:hAnsi="Times New Roman" w:cs="Times New Roman"/>
          <w:sz w:val="24"/>
          <w:szCs w:val="24"/>
        </w:rPr>
        <w:t>. A Képviselő-testület a vételárat … Ft-ban határozza meg. A Képviselő-testület az adásvételi szerződéssel kapcsolatban az alábbi feltételeket határozza meg: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az adásvételi szerződés aláírására.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Keszler Gyula, polgármester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2017. június 30.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pályázati úton kívánja értékesíteni. A pályázati felhívás tartalmi elemeit az alábbiak szerint határozza meg.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 a pályázati felhívás közzétételére.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Keszler Gyula, polgármester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2017. </w:t>
      </w:r>
      <w:r>
        <w:rPr>
          <w:rFonts w:ascii="Times New Roman" w:hAnsi="Times New Roman" w:cs="Times New Roman"/>
          <w:sz w:val="24"/>
          <w:szCs w:val="24"/>
        </w:rPr>
        <w:t>máj</w:t>
      </w:r>
      <w:r>
        <w:rPr>
          <w:rFonts w:ascii="Times New Roman" w:hAnsi="Times New Roman" w:cs="Times New Roman"/>
          <w:sz w:val="24"/>
          <w:szCs w:val="24"/>
        </w:rPr>
        <w:t>us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D3B12" w:rsidRPr="00AD3B12" w:rsidRDefault="00AD3B12" w:rsidP="00AD3B1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nem kívánja értékesíteni. </w:t>
      </w:r>
    </w:p>
    <w:p w:rsidR="00A40767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polgármestert, hogy a döntésről az ingatlan megvásárlására kérelmet benyújtót tájékoztassa.</w:t>
      </w:r>
    </w:p>
    <w:p w:rsidR="00A40767" w:rsidRPr="00C67615" w:rsidRDefault="00A40767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A40767" w:rsidRPr="00C67615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Keszler Gyula</w:t>
      </w:r>
      <w:r w:rsidR="00A40767" w:rsidRPr="00C67615">
        <w:rPr>
          <w:rFonts w:ascii="Times New Roman" w:hAnsi="Times New Roman" w:cs="Times New Roman"/>
          <w:sz w:val="24"/>
          <w:szCs w:val="24"/>
        </w:rPr>
        <w:t>, polgármester</w:t>
      </w:r>
    </w:p>
    <w:p w:rsidR="00A40767" w:rsidRPr="00C67615" w:rsidRDefault="00FC550F" w:rsidP="00A40767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</w:t>
      </w:r>
      <w:r w:rsidR="00E80D7C">
        <w:rPr>
          <w:rFonts w:ascii="Times New Roman" w:hAnsi="Times New Roman" w:cs="Times New Roman"/>
          <w:sz w:val="24"/>
          <w:szCs w:val="24"/>
        </w:rPr>
        <w:t xml:space="preserve">7. </w:t>
      </w:r>
      <w:r w:rsidR="00AD3B12">
        <w:rPr>
          <w:rFonts w:ascii="Times New Roman" w:hAnsi="Times New Roman" w:cs="Times New Roman"/>
          <w:sz w:val="24"/>
          <w:szCs w:val="24"/>
        </w:rPr>
        <w:t xml:space="preserve">május 31. </w:t>
      </w:r>
    </w:p>
    <w:p w:rsidR="00A40767" w:rsidRPr="00335A30" w:rsidRDefault="00A40767" w:rsidP="00A40767">
      <w:pPr>
        <w:pStyle w:val="Cmsor2"/>
        <w:numPr>
          <w:ilvl w:val="0"/>
          <w:numId w:val="0"/>
        </w:numPr>
        <w:contextualSpacing/>
        <w:jc w:val="both"/>
        <w:rPr>
          <w:b w:val="0"/>
          <w:i/>
          <w:szCs w:val="24"/>
        </w:rPr>
      </w:pPr>
      <w:r w:rsidRPr="00C67615">
        <w:rPr>
          <w:b w:val="0"/>
          <w:i/>
          <w:szCs w:val="24"/>
        </w:rPr>
        <w:t xml:space="preserve"> </w:t>
      </w:r>
    </w:p>
    <w:sectPr w:rsidR="00A40767" w:rsidRPr="00335A30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50" w:rsidRDefault="00465C50" w:rsidP="00754E58">
      <w:pPr>
        <w:spacing w:before="0" w:after="0"/>
      </w:pPr>
      <w:r>
        <w:separator/>
      </w:r>
    </w:p>
  </w:endnote>
  <w:endnote w:type="continuationSeparator" w:id="0">
    <w:p w:rsidR="00465C50" w:rsidRDefault="00465C50" w:rsidP="00754E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50" w:rsidRDefault="00465C50" w:rsidP="00754E58">
      <w:pPr>
        <w:spacing w:before="0" w:after="0"/>
      </w:pPr>
      <w:r>
        <w:separator/>
      </w:r>
    </w:p>
  </w:footnote>
  <w:footnote w:type="continuationSeparator" w:id="0">
    <w:p w:rsidR="00465C50" w:rsidRDefault="00465C50" w:rsidP="00754E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CE2E89"/>
    <w:multiLevelType w:val="hybridMultilevel"/>
    <w:tmpl w:val="76228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1E53"/>
    <w:multiLevelType w:val="hybridMultilevel"/>
    <w:tmpl w:val="54A25F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7"/>
    <w:rsid w:val="000B728F"/>
    <w:rsid w:val="00223A8E"/>
    <w:rsid w:val="00291BB8"/>
    <w:rsid w:val="00311827"/>
    <w:rsid w:val="003862F6"/>
    <w:rsid w:val="003C75EF"/>
    <w:rsid w:val="00424316"/>
    <w:rsid w:val="00465C50"/>
    <w:rsid w:val="004E7204"/>
    <w:rsid w:val="00711762"/>
    <w:rsid w:val="00721564"/>
    <w:rsid w:val="00754E58"/>
    <w:rsid w:val="007F037A"/>
    <w:rsid w:val="00A40767"/>
    <w:rsid w:val="00AD3B12"/>
    <w:rsid w:val="00E80D7C"/>
    <w:rsid w:val="00FB23F0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D351-860D-48A1-9749-27D1702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767"/>
  </w:style>
  <w:style w:type="paragraph" w:styleId="Cmsor2">
    <w:name w:val="heading 2"/>
    <w:basedOn w:val="Norml"/>
    <w:next w:val="Norml"/>
    <w:link w:val="Cmsor2Char"/>
    <w:qFormat/>
    <w:rsid w:val="00A40767"/>
    <w:pPr>
      <w:keepNext/>
      <w:numPr>
        <w:ilvl w:val="1"/>
        <w:numId w:val="1"/>
      </w:numPr>
      <w:suppressAutoHyphens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407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Lbjegyzet-hivatkozs">
    <w:name w:val="footnote reference"/>
    <w:rsid w:val="00A40767"/>
    <w:rPr>
      <w:vertAlign w:val="superscript"/>
    </w:rPr>
  </w:style>
  <w:style w:type="paragraph" w:styleId="Szvegtrzsbehzssal">
    <w:name w:val="Body Text Indent"/>
    <w:basedOn w:val="Norml"/>
    <w:link w:val="SzvegtrzsbehzssalChar"/>
    <w:rsid w:val="00754E58"/>
    <w:pPr>
      <w:spacing w:before="0" w:beforeAutospacing="0" w:after="0" w:afterAutospacing="0"/>
      <w:ind w:left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54E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754E5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54E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D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Dr. Szabó Tímea</cp:lastModifiedBy>
  <cp:revision>2</cp:revision>
  <dcterms:created xsi:type="dcterms:W3CDTF">2017-04-28T10:01:00Z</dcterms:created>
  <dcterms:modified xsi:type="dcterms:W3CDTF">2017-04-28T10:01:00Z</dcterms:modified>
</cp:coreProperties>
</file>